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7F1D6">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hint="default" w:ascii="Times New Roman" w:hAnsi="Times New Roman" w:eastAsia="方正黑体简体" w:cs="Times New Roman"/>
          <w:color w:val="auto"/>
          <w:sz w:val="32"/>
          <w:szCs w:val="32"/>
          <w:lang w:eastAsia="zh-CN"/>
        </w:rPr>
      </w:pPr>
      <w:r>
        <w:rPr>
          <w:rFonts w:hint="default" w:ascii="Times New Roman" w:hAnsi="Times New Roman" w:eastAsia="黑体" w:cs="Times New Roman"/>
          <w:color w:val="auto"/>
          <w:sz w:val="32"/>
          <w:szCs w:val="32"/>
        </w:rPr>
        <w:t>附件</w:t>
      </w:r>
      <w:r>
        <w:rPr>
          <w:rFonts w:hint="default" w:ascii="Times New Roman" w:hAnsi="Times New Roman" w:eastAsia="黑体" w:cs="Times New Roman"/>
          <w:color w:val="auto"/>
          <w:sz w:val="32"/>
          <w:szCs w:val="32"/>
          <w:lang w:val="en-US" w:eastAsia="zh-CN"/>
        </w:rPr>
        <w:t>1</w:t>
      </w:r>
    </w:p>
    <w:p w14:paraId="2C3E812A">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hint="default" w:ascii="Times New Roman" w:hAnsi="Times New Roman" w:eastAsia="仿宋" w:cs="Times New Roman"/>
          <w:color w:val="auto"/>
          <w:sz w:val="32"/>
          <w:szCs w:val="32"/>
        </w:rPr>
      </w:pPr>
    </w:p>
    <w:p w14:paraId="4F8841D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临沂市社会科学规划</w:t>
      </w:r>
      <w:r>
        <w:rPr>
          <w:rFonts w:hint="default" w:ascii="Times New Roman" w:hAnsi="Times New Roman" w:eastAsia="方正小标宋简体" w:cs="Times New Roman"/>
          <w:color w:val="auto"/>
          <w:sz w:val="44"/>
          <w:szCs w:val="44"/>
          <w:lang w:eastAsia="zh-CN"/>
        </w:rPr>
        <w:t>2025</w:t>
      </w:r>
      <w:r>
        <w:rPr>
          <w:rFonts w:hint="default" w:ascii="Times New Roman" w:hAnsi="Times New Roman" w:eastAsia="方正小标宋简体" w:cs="Times New Roman"/>
          <w:color w:val="auto"/>
          <w:sz w:val="44"/>
          <w:szCs w:val="44"/>
        </w:rPr>
        <w:t>年度课题指南</w:t>
      </w:r>
    </w:p>
    <w:p w14:paraId="3CB03B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p>
    <w:p w14:paraId="009C2D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一、党的创新理论体系化学理化研究课题</w:t>
      </w:r>
    </w:p>
    <w:p w14:paraId="145833D8">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 中国式现代化在临沂实践路径研究</w:t>
      </w:r>
    </w:p>
    <w:p w14:paraId="58A52A7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2. 临沂市新质生产力发展研究</w:t>
      </w:r>
    </w:p>
    <w:p w14:paraId="7ED02154">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3. 临沂市提振消费研究</w:t>
      </w:r>
      <w:bookmarkStart w:id="0" w:name="_GoBack"/>
      <w:bookmarkEnd w:id="0"/>
    </w:p>
    <w:p w14:paraId="4278BAFA">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4. 临沂市优化营商环境研究</w:t>
      </w:r>
    </w:p>
    <w:p w14:paraId="3F880420">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5. 临沂城市更新发展研究</w:t>
      </w:r>
    </w:p>
    <w:p w14:paraId="5934437D">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6. 打造临沂对外开放新高地研究</w:t>
      </w:r>
    </w:p>
    <w:p w14:paraId="47F86A42">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7. 关于临沂市国民经济和社会发展第十五个五年规划的意见建议</w:t>
      </w:r>
    </w:p>
    <w:p w14:paraId="0CFFE236">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8. 党的创新理论在现代化强市建设的实践研究</w:t>
      </w:r>
    </w:p>
    <w:p w14:paraId="27C98E96">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9. 坚持“实好多快”抓好临沂招商引资研究</w:t>
      </w:r>
    </w:p>
    <w:p w14:paraId="5CD0E477">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10. 习近平法治思想研究</w:t>
      </w:r>
    </w:p>
    <w:p w14:paraId="366AB68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11. “12345·临沂首发”信息化、党建引领网格化与矛调中心联动发力研究</w:t>
      </w:r>
    </w:p>
    <w:p w14:paraId="35EEAB54">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12. 临沂市推动黄河流域生态保护和高质量发展研究</w:t>
      </w:r>
    </w:p>
    <w:p w14:paraId="55318B6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13. 临沂市建设绿色低碳高质量发展先行区研究</w:t>
      </w:r>
    </w:p>
    <w:p w14:paraId="740C4A0A">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 xml:space="preserve">14. </w:t>
      </w:r>
      <w:r>
        <w:rPr>
          <w:rFonts w:hint="default" w:ascii="Times New Roman" w:hAnsi="Times New Roman" w:eastAsia="仿宋_GB2312" w:cs="Times New Roman"/>
          <w:b w:val="0"/>
          <w:bCs w:val="0"/>
          <w:snapToGrid/>
          <w:color w:val="auto"/>
          <w:kern w:val="2"/>
          <w:sz w:val="32"/>
          <w:szCs w:val="32"/>
          <w:lang w:val="en-US" w:eastAsia="zh-CN" w:bidi="ar-SA"/>
        </w:rPr>
        <w:t>铸牢中华民族共同体意识研究</w:t>
      </w:r>
    </w:p>
    <w:p w14:paraId="3DD5282F">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15. 人工智能背景下社会科学研究发展应对策略研究</w:t>
      </w:r>
    </w:p>
    <w:p w14:paraId="71156708">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16. 构建“沂蒙发布厅”一体化运作模式、全域化宣传模式、碎片化传播模式研究</w:t>
      </w:r>
    </w:p>
    <w:p w14:paraId="7C2949F3">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17. 新发展格局下临沂市对标义乌打造双循环战略支点的路径研究</w:t>
      </w:r>
    </w:p>
    <w:p w14:paraId="1A92F524">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18. 临沂商城国际化数字化转型改革的路径研究</w:t>
      </w:r>
    </w:p>
    <w:p w14:paraId="557A87AD">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19. 临沂市优化政务服务推进“高效办成一件事”改革研究</w:t>
      </w:r>
    </w:p>
    <w:p w14:paraId="18A3299E">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20. 推动临沂市康文旅融合发展研究</w:t>
      </w:r>
    </w:p>
    <w:p w14:paraId="39EB043D">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21. 临沂市“突破商文旅”方法路径研究</w:t>
      </w:r>
    </w:p>
    <w:p w14:paraId="030477B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22. 关于临沂市镇域经济发展的研究与思考</w:t>
      </w:r>
    </w:p>
    <w:p w14:paraId="3B341735">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23. 深化“三医联动”改革推动健康临沂发展研究</w:t>
      </w:r>
    </w:p>
    <w:p w14:paraId="787D81B8">
      <w:pPr>
        <w:keepNext w:val="0"/>
        <w:keepLines w:val="0"/>
        <w:pageBreakBefore w:val="0"/>
        <w:widowControl w:val="0"/>
        <w:kinsoku/>
        <w:wordWrap/>
        <w:overflowPunct/>
        <w:topLinePunct w:val="0"/>
        <w:autoSpaceDE/>
        <w:autoSpaceDN/>
        <w:bidi w:val="0"/>
        <w:adjustRightInd w:val="0"/>
        <w:snapToGrid w:val="0"/>
        <w:spacing w:line="560" w:lineRule="exact"/>
        <w:ind w:right="-160" w:rightChars="-50" w:firstLine="640" w:firstLineChars="200"/>
        <w:jc w:val="left"/>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 xml:space="preserve">24. </w:t>
      </w:r>
      <w:r>
        <w:rPr>
          <w:rFonts w:hint="default" w:ascii="Times New Roman" w:hAnsi="Times New Roman" w:eastAsia="仿宋_GB2312" w:cs="Times New Roman"/>
          <w:b w:val="0"/>
          <w:bCs w:val="0"/>
          <w:color w:val="auto"/>
          <w:sz w:val="32"/>
          <w:szCs w:val="32"/>
          <w:lang w:val="en-US" w:eastAsia="zh-CN"/>
        </w:rPr>
        <w:t>加快</w:t>
      </w:r>
      <w:r>
        <w:rPr>
          <w:rFonts w:hint="default" w:ascii="Times New Roman" w:hAnsi="Times New Roman" w:cs="Times New Roman"/>
          <w:b w:val="0"/>
          <w:bCs w:val="0"/>
          <w:color w:val="auto"/>
          <w:sz w:val="32"/>
          <w:szCs w:val="32"/>
          <w:lang w:val="en-US" w:eastAsia="zh-CN"/>
        </w:rPr>
        <w:t>临沂</w:t>
      </w:r>
      <w:r>
        <w:rPr>
          <w:rFonts w:hint="default" w:ascii="Times New Roman" w:hAnsi="Times New Roman" w:eastAsia="仿宋_GB2312" w:cs="Times New Roman"/>
          <w:b w:val="0"/>
          <w:bCs w:val="0"/>
          <w:color w:val="auto"/>
          <w:sz w:val="32"/>
          <w:szCs w:val="32"/>
          <w:lang w:val="en-US" w:eastAsia="zh-CN"/>
        </w:rPr>
        <w:t>人才飞地建设研究</w:t>
      </w:r>
    </w:p>
    <w:p w14:paraId="58C0D4CA">
      <w:pPr>
        <w:keepNext w:val="0"/>
        <w:keepLines w:val="0"/>
        <w:pageBreakBefore w:val="0"/>
        <w:widowControl w:val="0"/>
        <w:kinsoku/>
        <w:wordWrap/>
        <w:overflowPunct/>
        <w:topLinePunct w:val="0"/>
        <w:autoSpaceDE/>
        <w:autoSpaceDN/>
        <w:bidi w:val="0"/>
        <w:adjustRightInd w:val="0"/>
        <w:snapToGrid w:val="0"/>
        <w:spacing w:line="560" w:lineRule="exact"/>
        <w:ind w:right="-160" w:rightChars="-50" w:firstLine="640" w:firstLineChars="200"/>
        <w:jc w:val="lef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sz w:val="32"/>
          <w:szCs w:val="32"/>
          <w:lang w:val="en-US" w:eastAsia="zh-CN"/>
        </w:rPr>
        <w:t xml:space="preserve">25. </w:t>
      </w:r>
      <w:r>
        <w:rPr>
          <w:rFonts w:hint="default" w:ascii="Times New Roman" w:hAnsi="Times New Roman" w:eastAsia="仿宋_GB2312" w:cs="Times New Roman"/>
          <w:b w:val="0"/>
          <w:bCs w:val="0"/>
          <w:color w:val="auto"/>
          <w:lang w:val="en-US" w:eastAsia="zh-CN"/>
        </w:rPr>
        <w:t>临沂市社会工作专业人才作用发挥机制研究</w:t>
      </w:r>
    </w:p>
    <w:p w14:paraId="66E51F9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26. 临沂市加快“板材之都”向“家居制造之都”转变路径研究</w:t>
      </w:r>
    </w:p>
    <w:p w14:paraId="6857A5F0">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27. 立足临沂市高端装备制造产业集群擦亮“中国工程机械名城”名片研究</w:t>
      </w:r>
    </w:p>
    <w:p w14:paraId="4CE4680F">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28. 临沂市深化企业主导的产学研融通机制研究</w:t>
      </w:r>
    </w:p>
    <w:p w14:paraId="5EFD3CA0">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29. 临沂市深化移风易俗提升城市文明建设研究</w:t>
      </w:r>
    </w:p>
    <w:p w14:paraId="052973A2">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30. 城乡要素资源双向流动推动临沂城乡融合发展研究</w:t>
      </w:r>
    </w:p>
    <w:p w14:paraId="6123620C">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31. 立足“激活蒙山”培育临沂文旅产业研究</w:t>
      </w:r>
    </w:p>
    <w:p w14:paraId="2DA1097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32. 立足临沂健康食品产业集群叫响“中国食品之都”品牌研究</w:t>
      </w:r>
    </w:p>
    <w:p w14:paraId="0E338261">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33. 大力发展非遗手造产业 为乡村振兴注入更多“新质生产力”研究</w:t>
      </w:r>
    </w:p>
    <w:p w14:paraId="282969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二、专项课题</w:t>
      </w:r>
    </w:p>
    <w:p w14:paraId="699C7BC8">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lang w:val="en-US" w:eastAsia="zh-CN"/>
        </w:rPr>
      </w:pPr>
      <w:r>
        <w:rPr>
          <w:rFonts w:hint="default" w:ascii="Times New Roman" w:hAnsi="Times New Roman" w:eastAsia="楷体_GB2312" w:cs="Times New Roman"/>
          <w:b w:val="0"/>
          <w:bCs w:val="0"/>
          <w:snapToGrid/>
          <w:color w:val="auto"/>
          <w:kern w:val="2"/>
          <w:sz w:val="32"/>
          <w:szCs w:val="32"/>
          <w:lang w:val="en-US" w:eastAsia="zh-CN" w:bidi="ar-SA"/>
        </w:rPr>
        <w:t>1.党的二十届三中全会精神研究</w:t>
      </w:r>
    </w:p>
    <w:p w14:paraId="4E70F4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eastAsia="仿宋_GB2312" w:cs="Times New Roman"/>
          <w:b w:val="0"/>
          <w:bCs w:val="0"/>
          <w:snapToGrid/>
          <w:color w:val="auto"/>
          <w:kern w:val="2"/>
          <w:sz w:val="32"/>
          <w:szCs w:val="32"/>
          <w:lang w:val="en-US" w:eastAsia="zh-CN" w:bidi="ar-SA"/>
        </w:rPr>
        <w:t>（1）习近平总书记关于</w:t>
      </w:r>
      <w:r>
        <w:rPr>
          <w:rFonts w:hint="default" w:ascii="Times New Roman" w:hAnsi="Times New Roman" w:cs="Times New Roman"/>
          <w:b w:val="0"/>
          <w:bCs w:val="0"/>
          <w:snapToGrid/>
          <w:color w:val="auto"/>
          <w:kern w:val="2"/>
          <w:sz w:val="32"/>
          <w:szCs w:val="32"/>
          <w:lang w:val="en-US" w:eastAsia="zh-CN" w:bidi="ar-SA"/>
        </w:rPr>
        <w:t>进一步</w:t>
      </w:r>
      <w:r>
        <w:rPr>
          <w:rFonts w:hint="default" w:ascii="Times New Roman" w:hAnsi="Times New Roman" w:eastAsia="仿宋_GB2312" w:cs="Times New Roman"/>
          <w:b w:val="0"/>
          <w:bCs w:val="0"/>
          <w:snapToGrid/>
          <w:color w:val="auto"/>
          <w:kern w:val="2"/>
          <w:sz w:val="32"/>
          <w:szCs w:val="32"/>
          <w:lang w:val="en-US" w:eastAsia="zh-CN" w:bidi="ar-SA"/>
        </w:rPr>
        <w:t>全面深化改革新思想、新观点、新论断</w:t>
      </w:r>
      <w:r>
        <w:rPr>
          <w:rFonts w:hint="default" w:ascii="Times New Roman" w:hAnsi="Times New Roman" w:cs="Times New Roman"/>
          <w:b w:val="0"/>
          <w:bCs w:val="0"/>
          <w:snapToGrid/>
          <w:color w:val="auto"/>
          <w:kern w:val="2"/>
          <w:sz w:val="32"/>
          <w:szCs w:val="32"/>
          <w:lang w:val="en-US" w:eastAsia="zh-CN" w:bidi="ar-SA"/>
        </w:rPr>
        <w:t>研究</w:t>
      </w:r>
    </w:p>
    <w:p w14:paraId="67AF5A01">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（2）“六个坚持”重要意义与临沂实践研究</w:t>
      </w:r>
    </w:p>
    <w:p w14:paraId="77B5F63F">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（3）“七个聚焦”重要意义与临沂实践研究</w:t>
      </w:r>
    </w:p>
    <w:p w14:paraId="5D5A6E05">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（4）“十五方面部署”重要意义与临沂实践研究</w:t>
      </w:r>
    </w:p>
    <w:p w14:paraId="4C77A9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cs="Times New Roman"/>
          <w:b w:val="0"/>
          <w:bCs w:val="0"/>
          <w:snapToGrid/>
          <w:color w:val="auto"/>
          <w:kern w:val="2"/>
          <w:sz w:val="32"/>
          <w:szCs w:val="32"/>
          <w:lang w:val="en-US" w:eastAsia="zh-CN" w:bidi="ar-SA"/>
        </w:rPr>
        <w:t>（5）</w:t>
      </w:r>
      <w:r>
        <w:rPr>
          <w:rFonts w:hint="default" w:ascii="Times New Roman" w:hAnsi="Times New Roman" w:eastAsia="仿宋_GB2312" w:cs="Times New Roman"/>
          <w:b w:val="0"/>
          <w:bCs w:val="0"/>
          <w:snapToGrid/>
          <w:color w:val="auto"/>
          <w:kern w:val="2"/>
          <w:sz w:val="32"/>
          <w:szCs w:val="32"/>
          <w:lang w:val="en-US" w:eastAsia="zh-CN" w:bidi="ar-SA"/>
        </w:rPr>
        <w:t>临沂改革实践经验总结提炼研究</w:t>
      </w:r>
    </w:p>
    <w:p w14:paraId="525A46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2.习近平文化思想研究</w:t>
      </w:r>
    </w:p>
    <w:p w14:paraId="6B91F3E3">
      <w:pPr>
        <w:keepNext w:val="0"/>
        <w:keepLines w:val="0"/>
        <w:pageBreakBefore w:val="0"/>
        <w:widowControl w:val="0"/>
        <w:kinsoku/>
        <w:wordWrap/>
        <w:overflowPunct/>
        <w:topLinePunct w:val="0"/>
        <w:autoSpaceDE/>
        <w:autoSpaceDN/>
        <w:bidi w:val="0"/>
        <w:adjustRightInd w:val="0"/>
        <w:snapToGrid w:val="0"/>
        <w:spacing w:line="560" w:lineRule="exact"/>
        <w:ind w:right="-160" w:rightChars="-50" w:firstLine="640" w:firstLineChars="200"/>
        <w:jc w:val="left"/>
        <w:textAlignment w:val="auto"/>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w:t>
      </w:r>
      <w:r>
        <w:rPr>
          <w:rFonts w:hint="default" w:ascii="Times New Roman" w:hAnsi="Times New Roman" w:eastAsia="仿宋_GB2312" w:cs="Times New Roman"/>
          <w:b w:val="0"/>
          <w:bCs w:val="0"/>
          <w:color w:val="auto"/>
          <w:sz w:val="32"/>
          <w:szCs w:val="32"/>
          <w:lang w:val="en-US" w:eastAsia="zh-CN"/>
        </w:rPr>
        <w:t>中华优秀传统文化在教育强国建设中的基础地位研究</w:t>
      </w:r>
    </w:p>
    <w:p w14:paraId="6DA7E648">
      <w:pPr>
        <w:keepNext w:val="0"/>
        <w:keepLines w:val="0"/>
        <w:pageBreakBefore w:val="0"/>
        <w:widowControl w:val="0"/>
        <w:kinsoku/>
        <w:wordWrap/>
        <w:overflowPunct/>
        <w:topLinePunct w:val="0"/>
        <w:autoSpaceDE/>
        <w:autoSpaceDN/>
        <w:bidi w:val="0"/>
        <w:adjustRightInd w:val="0"/>
        <w:snapToGrid w:val="0"/>
        <w:spacing w:line="560" w:lineRule="exact"/>
        <w:ind w:right="-160" w:rightChars="-50" w:firstLine="640" w:firstLineChars="200"/>
        <w:jc w:val="left"/>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cs="Times New Roman"/>
          <w:b w:val="0"/>
          <w:bCs w:val="0"/>
          <w:snapToGrid/>
          <w:color w:val="auto"/>
          <w:kern w:val="2"/>
          <w:sz w:val="32"/>
          <w:szCs w:val="32"/>
          <w:lang w:val="en-US" w:eastAsia="zh-CN" w:bidi="ar-SA"/>
        </w:rPr>
        <w:t>2</w:t>
      </w:r>
      <w:r>
        <w:rPr>
          <w:rFonts w:hint="default" w:ascii="Times New Roman" w:hAnsi="Times New Roman" w:eastAsia="仿宋_GB2312" w:cs="Times New Roman"/>
          <w:b w:val="0"/>
          <w:bCs w:val="0"/>
          <w:snapToGrid/>
          <w:color w:val="auto"/>
          <w:kern w:val="2"/>
          <w:sz w:val="32"/>
          <w:szCs w:val="32"/>
          <w:lang w:val="en-US" w:eastAsia="zh-CN" w:bidi="ar-SA"/>
        </w:rPr>
        <w:t>）临沂优秀文化研究（包括荀子文化、兵学文化、书法文化、东夷文化、孝文化</w:t>
      </w:r>
      <w:r>
        <w:rPr>
          <w:rFonts w:hint="default" w:ascii="Times New Roman" w:hAnsi="Times New Roman" w:cs="Times New Roman"/>
          <w:b w:val="0"/>
          <w:bCs w:val="0"/>
          <w:snapToGrid/>
          <w:color w:val="auto"/>
          <w:kern w:val="2"/>
          <w:sz w:val="32"/>
          <w:szCs w:val="32"/>
          <w:lang w:val="en-US" w:eastAsia="zh-CN" w:bidi="ar-SA"/>
        </w:rPr>
        <w:t>等</w:t>
      </w:r>
      <w:r>
        <w:rPr>
          <w:rFonts w:hint="default" w:ascii="Times New Roman" w:hAnsi="Times New Roman" w:eastAsia="仿宋_GB2312" w:cs="Times New Roman"/>
          <w:b w:val="0"/>
          <w:bCs w:val="0"/>
          <w:snapToGrid/>
          <w:color w:val="auto"/>
          <w:kern w:val="2"/>
          <w:sz w:val="32"/>
          <w:szCs w:val="32"/>
          <w:lang w:val="en-US" w:eastAsia="zh-CN" w:bidi="ar-SA"/>
        </w:rPr>
        <w:t>）</w:t>
      </w:r>
    </w:p>
    <w:p w14:paraId="0044807D">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color w:val="auto"/>
          <w:kern w:val="2"/>
          <w:sz w:val="32"/>
          <w:szCs w:val="32"/>
          <w:lang w:val="en-US" w:eastAsia="zh-CN" w:bidi="ar-SA"/>
        </w:rPr>
        <w:t>（3）</w:t>
      </w:r>
      <w:r>
        <w:rPr>
          <w:rFonts w:hint="default" w:ascii="Times New Roman" w:hAnsi="Times New Roman" w:eastAsia="仿宋_GB2312" w:cs="Times New Roman"/>
          <w:b w:val="0"/>
          <w:bCs w:val="0"/>
          <w:snapToGrid/>
          <w:color w:val="auto"/>
          <w:kern w:val="2"/>
          <w:sz w:val="32"/>
          <w:szCs w:val="32"/>
          <w:lang w:val="en-US" w:eastAsia="zh-CN" w:bidi="ar-SA"/>
        </w:rPr>
        <w:t>临沂市深化以文化人、以文惠民、以文兴产、以文润城研究</w:t>
      </w:r>
    </w:p>
    <w:p w14:paraId="5C095C39">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（4）临沂历史文脉系统性学理性研究</w:t>
      </w:r>
    </w:p>
    <w:p w14:paraId="0A6CC06B">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（5）传承弘扬红色革命文化研究</w:t>
      </w:r>
    </w:p>
    <w:p w14:paraId="76BF29AB">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（6）临沂市乡村文化振兴现实需求研究</w:t>
      </w:r>
    </w:p>
    <w:p w14:paraId="3D970878">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（7）弘扬郯子仁孝文化赋能基层社会治理研究</w:t>
      </w:r>
    </w:p>
    <w:p w14:paraId="52572B1B">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（8）推动优质文化资源直达基层路径探究——以临沂市群众性小戏小剧创演工程为例</w:t>
      </w:r>
    </w:p>
    <w:p w14:paraId="02EDDB0C">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snapToGrid/>
          <w:color w:val="auto"/>
          <w:kern w:val="2"/>
          <w:sz w:val="32"/>
          <w:szCs w:val="32"/>
          <w:lang w:val="en-US" w:eastAsia="zh-CN" w:bidi="ar-SA"/>
        </w:rPr>
        <w:t>（9）</w:t>
      </w:r>
      <w:r>
        <w:rPr>
          <w:rFonts w:hint="default" w:ascii="Times New Roman" w:hAnsi="Times New Roman" w:eastAsia="仿宋_GB2312" w:cs="Times New Roman"/>
          <w:b w:val="0"/>
          <w:bCs w:val="0"/>
          <w:snapToGrid/>
          <w:color w:val="auto"/>
          <w:kern w:val="2"/>
          <w:sz w:val="32"/>
          <w:szCs w:val="32"/>
          <w:lang w:val="en-US" w:eastAsia="zh-CN" w:bidi="ar-SA"/>
        </w:rPr>
        <w:t>小戏小剧对党的群众文艺路线表现形式的意义研究</w:t>
      </w:r>
    </w:p>
    <w:p w14:paraId="41437AEF">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（10）打造东夷文化“临沂市文化品牌”研究</w:t>
      </w:r>
    </w:p>
    <w:p w14:paraId="39DD66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（11）郯运河文化研究（包括文化生态保护区建设，相关非遗项目的挖掘整理、申报收录和保护传承等）</w:t>
      </w:r>
    </w:p>
    <w:p w14:paraId="57B177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3.社会主义核心价值观研究</w:t>
      </w:r>
    </w:p>
    <w:p w14:paraId="77A060FD">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（1）社会主义核心价值观与中华优秀传统文化、革命文化、社会主义先进文化的内在逻辑关系研究</w:t>
      </w:r>
    </w:p>
    <w:p w14:paraId="7521A558">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（2）</w:t>
      </w:r>
      <w:r>
        <w:rPr>
          <w:rFonts w:hint="default" w:ascii="Times New Roman" w:hAnsi="Times New Roman" w:eastAsia="仿宋_GB2312" w:cs="Times New Roman"/>
          <w:b w:val="0"/>
          <w:bCs w:val="0"/>
          <w:snapToGrid/>
          <w:color w:val="auto"/>
          <w:kern w:val="2"/>
          <w:sz w:val="32"/>
          <w:szCs w:val="32"/>
          <w:lang w:val="en-US" w:eastAsia="zh-CN" w:bidi="ar-SA"/>
        </w:rPr>
        <w:t>践行社会主义核心价值观重大理论和实践研究</w:t>
      </w:r>
    </w:p>
    <w:p w14:paraId="428438BA">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snapToGrid/>
          <w:color w:val="auto"/>
          <w:kern w:val="2"/>
          <w:sz w:val="32"/>
          <w:szCs w:val="32"/>
          <w:lang w:val="en-US" w:eastAsia="zh-CN" w:bidi="ar-SA"/>
        </w:rPr>
        <w:t>（3）</w:t>
      </w:r>
      <w:r>
        <w:rPr>
          <w:rFonts w:hint="default" w:ascii="Times New Roman" w:hAnsi="Times New Roman" w:eastAsia="仿宋_GB2312" w:cs="Times New Roman"/>
          <w:b w:val="0"/>
          <w:bCs w:val="0"/>
          <w:snapToGrid/>
          <w:color w:val="auto"/>
          <w:kern w:val="2"/>
          <w:sz w:val="32"/>
          <w:szCs w:val="32"/>
          <w:lang w:val="en-US" w:eastAsia="zh-CN" w:bidi="ar-SA"/>
        </w:rPr>
        <w:t>公民道德建设重大理论和实践研究</w:t>
      </w:r>
    </w:p>
    <w:p w14:paraId="2703AA81">
      <w:pPr>
        <w:keepNext w:val="0"/>
        <w:keepLines w:val="0"/>
        <w:pageBreakBefore w:val="0"/>
        <w:widowControl w:val="0"/>
        <w:kinsoku/>
        <w:wordWrap/>
        <w:overflowPunct/>
        <w:topLinePunct w:val="0"/>
        <w:autoSpaceDE/>
        <w:autoSpaceDN/>
        <w:bidi w:val="0"/>
        <w:adjustRightInd w:val="0"/>
        <w:snapToGrid w:val="0"/>
        <w:spacing w:line="560" w:lineRule="exact"/>
        <w:ind w:right="-160" w:rightChars="-50" w:firstLine="640" w:firstLineChars="200"/>
        <w:jc w:val="left"/>
        <w:textAlignment w:val="auto"/>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（4）</w:t>
      </w:r>
      <w:r>
        <w:rPr>
          <w:rFonts w:hint="default" w:ascii="Times New Roman" w:hAnsi="Times New Roman" w:eastAsia="仿宋_GB2312" w:cs="Times New Roman"/>
          <w:b w:val="0"/>
          <w:bCs w:val="0"/>
          <w:color w:val="auto"/>
          <w:sz w:val="32"/>
          <w:szCs w:val="32"/>
          <w:lang w:val="en-US" w:eastAsia="zh-CN"/>
        </w:rPr>
        <w:t>临沂市美德信用建设工作研究</w:t>
      </w:r>
    </w:p>
    <w:p w14:paraId="1AA06E11">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snapToGrid/>
          <w:color w:val="auto"/>
          <w:kern w:val="2"/>
          <w:sz w:val="32"/>
          <w:szCs w:val="32"/>
          <w:lang w:val="en-US" w:eastAsia="zh-CN" w:bidi="ar-SA"/>
        </w:rPr>
        <w:t>（5）</w:t>
      </w:r>
      <w:r>
        <w:rPr>
          <w:rFonts w:hint="default" w:ascii="Times New Roman" w:hAnsi="Times New Roman" w:eastAsia="仿宋_GB2312" w:cs="Times New Roman"/>
          <w:b w:val="0"/>
          <w:bCs w:val="0"/>
          <w:snapToGrid/>
          <w:color w:val="auto"/>
          <w:kern w:val="2"/>
          <w:sz w:val="32"/>
          <w:szCs w:val="32"/>
          <w:lang w:val="en-US" w:eastAsia="zh-CN" w:bidi="ar-SA"/>
        </w:rPr>
        <w:t>沂蒙</w:t>
      </w:r>
      <w:r>
        <w:rPr>
          <w:rFonts w:hint="default" w:ascii="Times New Roman" w:hAnsi="Times New Roman" w:cs="Times New Roman"/>
          <w:b w:val="0"/>
          <w:bCs w:val="0"/>
          <w:snapToGrid/>
          <w:color w:val="auto"/>
          <w:kern w:val="2"/>
          <w:sz w:val="32"/>
          <w:szCs w:val="32"/>
          <w:lang w:val="en-US" w:eastAsia="zh-CN" w:bidi="ar-SA"/>
        </w:rPr>
        <w:t>革命、</w:t>
      </w:r>
      <w:r>
        <w:rPr>
          <w:rFonts w:hint="default" w:ascii="Times New Roman" w:hAnsi="Times New Roman" w:eastAsia="仿宋_GB2312" w:cs="Times New Roman"/>
          <w:b w:val="0"/>
          <w:bCs w:val="0"/>
          <w:snapToGrid/>
          <w:color w:val="auto"/>
          <w:kern w:val="2"/>
          <w:sz w:val="32"/>
          <w:szCs w:val="32"/>
          <w:lang w:val="en-US" w:eastAsia="zh-CN" w:bidi="ar-SA"/>
        </w:rPr>
        <w:t>传统文化中的诚信价值理念研究</w:t>
      </w:r>
    </w:p>
    <w:p w14:paraId="6F06BA64">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snapToGrid/>
          <w:color w:val="auto"/>
          <w:kern w:val="2"/>
          <w:sz w:val="32"/>
          <w:szCs w:val="32"/>
          <w:lang w:val="en-US" w:eastAsia="zh-CN" w:bidi="ar-SA"/>
        </w:rPr>
        <w:t>（6）</w:t>
      </w:r>
      <w:r>
        <w:rPr>
          <w:rFonts w:hint="default" w:ascii="Times New Roman" w:hAnsi="Times New Roman" w:eastAsia="仿宋_GB2312" w:cs="Times New Roman"/>
          <w:b w:val="0"/>
          <w:bCs w:val="0"/>
          <w:snapToGrid/>
          <w:color w:val="auto"/>
          <w:kern w:val="2"/>
          <w:sz w:val="32"/>
          <w:szCs w:val="32"/>
          <w:lang w:val="en-US" w:eastAsia="zh-CN" w:bidi="ar-SA"/>
        </w:rPr>
        <w:t>临沂市诚信文化宣传阐释研究</w:t>
      </w:r>
    </w:p>
    <w:p w14:paraId="44CC454D">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（7）预防未成年人违法犯罪研究</w:t>
      </w:r>
    </w:p>
    <w:p w14:paraId="01EF08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napToGrid w:val="0"/>
          <w:color w:val="auto"/>
          <w:kern w:val="0"/>
          <w:sz w:val="32"/>
          <w:szCs w:val="31"/>
          <w:lang w:val="en-US" w:eastAsia="zh-CN" w:bidi="ar-SA"/>
        </w:rPr>
      </w:pPr>
      <w:r>
        <w:rPr>
          <w:rFonts w:hint="default" w:ascii="Times New Roman" w:hAnsi="Times New Roman" w:eastAsia="楷体_GB2312" w:cs="Times New Roman"/>
          <w:b w:val="0"/>
          <w:bCs w:val="0"/>
          <w:color w:val="auto"/>
          <w:sz w:val="32"/>
          <w:szCs w:val="32"/>
          <w:lang w:val="en-US" w:eastAsia="zh-CN"/>
        </w:rPr>
        <w:t>4.沂蒙精神和红色文化研究</w:t>
      </w:r>
    </w:p>
    <w:p w14:paraId="42D0BE2C">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（1）习近平总书记关于沂蒙精神重要论述实践经验总结提炼研究</w:t>
      </w:r>
    </w:p>
    <w:p w14:paraId="3AADDF21">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（2）</w:t>
      </w:r>
      <w:r>
        <w:rPr>
          <w:rFonts w:hint="default" w:ascii="Times New Roman" w:hAnsi="Times New Roman" w:eastAsia="仿宋_GB2312" w:cs="Times New Roman"/>
          <w:b w:val="0"/>
          <w:bCs w:val="0"/>
          <w:snapToGrid/>
          <w:color w:val="auto"/>
          <w:kern w:val="2"/>
          <w:sz w:val="32"/>
          <w:szCs w:val="32"/>
          <w:lang w:val="en-US" w:eastAsia="zh-CN" w:bidi="ar-SA"/>
        </w:rPr>
        <w:t>沂蒙精神融入新时代全面从严治党教育的实践路径与效能评估</w:t>
      </w:r>
    </w:p>
    <w:p w14:paraId="5F726484">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b w:val="0"/>
          <w:bCs w:val="0"/>
          <w:snapToGrid w:val="0"/>
          <w:color w:val="auto"/>
          <w:kern w:val="0"/>
          <w:sz w:val="32"/>
          <w:szCs w:val="31"/>
          <w:lang w:val="en-US" w:eastAsia="zh-CN" w:bidi="ar-SA"/>
        </w:rPr>
      </w:pPr>
      <w:r>
        <w:rPr>
          <w:rFonts w:hint="default"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cs="Times New Roman"/>
          <w:b w:val="0"/>
          <w:bCs w:val="0"/>
          <w:snapToGrid/>
          <w:color w:val="auto"/>
          <w:kern w:val="2"/>
          <w:sz w:val="32"/>
          <w:szCs w:val="32"/>
          <w:lang w:val="en-US" w:eastAsia="zh-CN" w:bidi="ar-SA"/>
        </w:rPr>
        <w:t>3</w:t>
      </w:r>
      <w:r>
        <w:rPr>
          <w:rFonts w:hint="default" w:ascii="Times New Roman" w:hAnsi="Times New Roman" w:eastAsia="仿宋_GB2312" w:cs="Times New Roman"/>
          <w:b w:val="0"/>
          <w:bCs w:val="0"/>
          <w:snapToGrid/>
          <w:color w:val="auto"/>
          <w:kern w:val="2"/>
          <w:sz w:val="32"/>
          <w:szCs w:val="32"/>
          <w:lang w:val="en-US" w:eastAsia="zh-CN" w:bidi="ar-SA"/>
        </w:rPr>
        <w:t>）沂蒙精神“党群同心”内涵特质的逻辑成因和时代价值研究</w:t>
      </w:r>
    </w:p>
    <w:p w14:paraId="72786E35">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（4）中国共产党人精神谱系在沂蒙展示体验区建设研究</w:t>
      </w:r>
    </w:p>
    <w:p w14:paraId="428EBF34">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color w:val="auto"/>
          <w:lang w:val="en-US" w:eastAsia="zh-CN"/>
        </w:rPr>
      </w:pPr>
      <w:r>
        <w:rPr>
          <w:rFonts w:hint="default" w:ascii="Times New Roman" w:hAnsi="Times New Roman" w:eastAsia="仿宋_GB2312" w:cs="Times New Roman"/>
          <w:b w:val="0"/>
          <w:bCs w:val="0"/>
          <w:snapToGrid/>
          <w:color w:val="auto"/>
          <w:kern w:val="2"/>
          <w:sz w:val="32"/>
          <w:szCs w:val="32"/>
          <w:lang w:val="en-US" w:eastAsia="zh-CN" w:bidi="ar-SA"/>
        </w:rPr>
        <w:t>（</w:t>
      </w:r>
      <w:r>
        <w:rPr>
          <w:rFonts w:hint="default" w:ascii="Times New Roman" w:hAnsi="Times New Roman" w:cs="Times New Roman"/>
          <w:b w:val="0"/>
          <w:bCs w:val="0"/>
          <w:snapToGrid/>
          <w:color w:val="auto"/>
          <w:kern w:val="2"/>
          <w:sz w:val="32"/>
          <w:szCs w:val="32"/>
          <w:lang w:val="en-US" w:eastAsia="zh-CN" w:bidi="ar-SA"/>
        </w:rPr>
        <w:t>5</w:t>
      </w:r>
      <w:r>
        <w:rPr>
          <w:rFonts w:hint="default" w:ascii="Times New Roman" w:hAnsi="Times New Roman" w:eastAsia="仿宋_GB2312" w:cs="Times New Roman"/>
          <w:b w:val="0"/>
          <w:bCs w:val="0"/>
          <w:snapToGrid/>
          <w:color w:val="auto"/>
          <w:kern w:val="2"/>
          <w:sz w:val="32"/>
          <w:szCs w:val="32"/>
          <w:lang w:val="en-US" w:eastAsia="zh-CN" w:bidi="ar-SA"/>
        </w:rPr>
        <w:t>）新时代沂蒙精神传承弘扬理念</w:t>
      </w:r>
      <w:r>
        <w:rPr>
          <w:rFonts w:hint="default" w:ascii="Times New Roman" w:hAnsi="Times New Roman" w:cs="Times New Roman"/>
          <w:b w:val="0"/>
          <w:bCs w:val="0"/>
          <w:snapToGrid/>
          <w:color w:val="auto"/>
          <w:kern w:val="2"/>
          <w:sz w:val="32"/>
          <w:szCs w:val="32"/>
          <w:lang w:val="en-US" w:eastAsia="zh-CN" w:bidi="ar-SA"/>
        </w:rPr>
        <w:t>、</w:t>
      </w:r>
      <w:r>
        <w:rPr>
          <w:rFonts w:hint="default" w:ascii="Times New Roman" w:hAnsi="Times New Roman" w:eastAsia="仿宋_GB2312" w:cs="Times New Roman"/>
          <w:b w:val="0"/>
          <w:bCs w:val="0"/>
          <w:snapToGrid/>
          <w:color w:val="auto"/>
          <w:kern w:val="2"/>
          <w:sz w:val="32"/>
          <w:szCs w:val="32"/>
          <w:lang w:val="en-US" w:eastAsia="zh-CN" w:bidi="ar-SA"/>
        </w:rPr>
        <w:t>措施和路径方法研究</w:t>
      </w:r>
    </w:p>
    <w:p w14:paraId="363338CA">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 xml:space="preserve">（6）临沂市全环境践行沂蒙精神深化提升研究 </w:t>
      </w:r>
    </w:p>
    <w:p w14:paraId="5698BFB4">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（7）“沂蒙精神大事记”研究</w:t>
      </w:r>
    </w:p>
    <w:p w14:paraId="355D5D50">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（8）抗战时期沂蒙军民“生死与共”典型案例的当代社会治理启示</w:t>
      </w:r>
    </w:p>
    <w:p w14:paraId="2ED83B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5.琅琊王文化研究</w:t>
      </w:r>
    </w:p>
    <w:p w14:paraId="48E57B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（1）</w:t>
      </w:r>
      <w:r>
        <w:rPr>
          <w:rFonts w:hint="default" w:ascii="Times New Roman" w:hAnsi="Times New Roman" w:eastAsia="仿宋_GB2312" w:cs="Times New Roman"/>
          <w:b w:val="0"/>
          <w:bCs w:val="0"/>
          <w:snapToGrid w:val="0"/>
          <w:color w:val="auto"/>
          <w:kern w:val="0"/>
          <w:sz w:val="32"/>
          <w:szCs w:val="31"/>
          <w:lang w:val="en-US" w:eastAsia="zh-CN" w:bidi="ar-SA"/>
        </w:rPr>
        <w:t>琅琊文化视角下中西古典学比较研究</w:t>
      </w:r>
    </w:p>
    <w:p w14:paraId="499553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（2）</w:t>
      </w:r>
      <w:r>
        <w:rPr>
          <w:rFonts w:hint="default" w:ascii="Times New Roman" w:hAnsi="Times New Roman" w:eastAsia="仿宋_GB2312" w:cs="Times New Roman"/>
          <w:b w:val="0"/>
          <w:bCs w:val="0"/>
          <w:snapToGrid w:val="0"/>
          <w:color w:val="auto"/>
          <w:kern w:val="0"/>
          <w:sz w:val="32"/>
          <w:szCs w:val="31"/>
          <w:lang w:val="en-US" w:eastAsia="zh-CN" w:bidi="ar-SA"/>
        </w:rPr>
        <w:t>琅琊文化在齐鲁文化中的地位与意义研究</w:t>
      </w:r>
    </w:p>
    <w:p w14:paraId="531C6E76">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（3）传承发展琅琊文化提升临沂文化影响力研究</w:t>
      </w:r>
    </w:p>
    <w:p w14:paraId="23895C84">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（4）推进琅琊文化“两创”路径研究</w:t>
      </w:r>
    </w:p>
    <w:p w14:paraId="5F8D4A3D">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（5）推进琅琊文化“两创”助力“沂蒙文脉传承工程”研究</w:t>
      </w:r>
    </w:p>
    <w:p w14:paraId="723F0E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6.荀子思想文化研究</w:t>
      </w:r>
    </w:p>
    <w:p w14:paraId="2B707EFB">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b w:val="0"/>
          <w:bCs w:val="0"/>
          <w:snapToGrid/>
          <w:color w:val="auto"/>
          <w:kern w:val="2"/>
          <w:sz w:val="32"/>
          <w:szCs w:val="32"/>
          <w:lang w:val="en-US" w:eastAsia="zh-CN" w:bidi="ar-SA"/>
        </w:rPr>
      </w:pPr>
      <w:r>
        <w:rPr>
          <w:rFonts w:hint="default" w:ascii="Times New Roman" w:hAnsi="Times New Roman" w:cs="Times New Roman"/>
          <w:b w:val="0"/>
          <w:bCs w:val="0"/>
          <w:snapToGrid/>
          <w:color w:val="auto"/>
          <w:kern w:val="2"/>
          <w:sz w:val="32"/>
          <w:szCs w:val="32"/>
          <w:lang w:val="en-US" w:eastAsia="zh-CN" w:bidi="ar-SA"/>
        </w:rPr>
        <w:t>（1）党的创新理论对荀子思想的传承与发展研究</w:t>
      </w:r>
    </w:p>
    <w:p w14:paraId="72A745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（2）荀子劝学思想对临沂教育改革发展的启示研究</w:t>
      </w:r>
    </w:p>
    <w:p w14:paraId="47F94C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（3）荀子“隆礼重法”思想对临沂社会治理的启示研究</w:t>
      </w:r>
    </w:p>
    <w:p w14:paraId="21D7D8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（4）荀子思想赋能“临沂首发”研究</w:t>
      </w:r>
    </w:p>
    <w:p w14:paraId="4A546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（5）荀子思想与沂蒙文脉传承研究</w:t>
      </w:r>
    </w:p>
    <w:p w14:paraId="70AEE7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（6）荀子思想赋能乡村文化建设研究</w:t>
      </w:r>
    </w:p>
    <w:p w14:paraId="1371D2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b w:val="0"/>
          <w:bCs w:val="0"/>
          <w:snapToGrid w:val="0"/>
          <w:color w:val="auto"/>
          <w:kern w:val="0"/>
          <w:sz w:val="32"/>
          <w:szCs w:val="31"/>
          <w:lang w:val="en-US" w:eastAsia="zh-CN" w:bidi="ar-SA"/>
        </w:rPr>
      </w:pPr>
      <w:r>
        <w:rPr>
          <w:rFonts w:hint="default" w:ascii="Times New Roman" w:hAnsi="Times New Roman" w:cs="Times New Roman"/>
          <w:b w:val="0"/>
          <w:bCs w:val="0"/>
          <w:snapToGrid w:val="0"/>
          <w:color w:val="auto"/>
          <w:kern w:val="0"/>
          <w:sz w:val="32"/>
          <w:szCs w:val="31"/>
          <w:lang w:val="en-US" w:eastAsia="zh-CN" w:bidi="ar-SA"/>
        </w:rPr>
        <w:t>（7）打造临沂荀子文化品牌研究</w:t>
      </w:r>
    </w:p>
    <w:p w14:paraId="1BCF14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三、“资政临沂”品牌委托课题</w:t>
      </w:r>
    </w:p>
    <w:p w14:paraId="4E06E25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 市委统战部委托课题</w:t>
      </w:r>
    </w:p>
    <w:p w14:paraId="09AAEDA2">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题目：①统一战线融入基层党建和社会综合治理的研究；②宗教自律的理论逻辑与实践探索</w:t>
      </w:r>
    </w:p>
    <w:p w14:paraId="2164447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以调查研究报告形式开展，包括但不仅限于理论阐发、问题剖析、经验提炼、对策建议等；内容突出时代性、前瞻性，立足当下、着眼长远，坚持问题导向，着重研究制约统一战线事业发展的重点难点问题。对策建议聚焦要准，切口要具体，切忌“大而全”。</w:t>
      </w:r>
    </w:p>
    <w:p w14:paraId="45858C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w:t>
      </w:r>
      <w:r>
        <w:rPr>
          <w:rFonts w:hint="default" w:ascii="Times New Roman" w:hAnsi="Times New Roman" w:cs="Times New Roman"/>
          <w:color w:val="auto"/>
          <w:kern w:val="2"/>
          <w:sz w:val="32"/>
          <w:szCs w:val="32"/>
          <w:lang w:val="en-US" w:eastAsia="zh-CN" w:bidi="ar-SA"/>
        </w:rPr>
        <w:t>6</w:t>
      </w:r>
      <w:r>
        <w:rPr>
          <w:rFonts w:hint="default" w:ascii="Times New Roman" w:hAnsi="Times New Roman" w:eastAsia="仿宋_GB2312" w:cs="Times New Roman"/>
          <w:color w:val="auto"/>
          <w:kern w:val="2"/>
          <w:sz w:val="32"/>
          <w:szCs w:val="32"/>
          <w:lang w:val="en-US" w:eastAsia="zh-CN" w:bidi="ar-SA"/>
        </w:rPr>
        <w:t>月30日</w:t>
      </w:r>
    </w:p>
    <w:p w14:paraId="55B08C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 市委政法委委托课题</w:t>
      </w:r>
    </w:p>
    <w:p w14:paraId="271C3930">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题目：推动沂蒙精神与“枫桥经验”融合</w:t>
      </w:r>
      <w:r>
        <w:rPr>
          <w:rFonts w:hint="default" w:ascii="Times New Roman" w:hAnsi="Times New Roman" w:cs="Times New Roman"/>
          <w:b/>
          <w:color w:val="auto"/>
          <w:kern w:val="2"/>
          <w:sz w:val="32"/>
          <w:szCs w:val="32"/>
          <w:lang w:val="en-US" w:eastAsia="zh-CN" w:bidi="ar-SA"/>
        </w:rPr>
        <w:t xml:space="preserve"> </w:t>
      </w:r>
      <w:r>
        <w:rPr>
          <w:rFonts w:hint="default" w:ascii="Times New Roman" w:hAnsi="Times New Roman" w:eastAsia="仿宋_GB2312" w:cs="Times New Roman"/>
          <w:b/>
          <w:color w:val="auto"/>
          <w:kern w:val="2"/>
          <w:sz w:val="32"/>
          <w:szCs w:val="32"/>
          <w:lang w:val="en-US" w:eastAsia="zh-CN" w:bidi="ar-SA"/>
        </w:rPr>
        <w:t>全力化解社会矛盾风险</w:t>
      </w:r>
      <w:r>
        <w:rPr>
          <w:rFonts w:hint="default" w:ascii="Times New Roman" w:hAnsi="Times New Roman" w:cs="Times New Roman"/>
          <w:b/>
          <w:color w:val="auto"/>
          <w:kern w:val="2"/>
          <w:sz w:val="32"/>
          <w:szCs w:val="32"/>
          <w:lang w:val="en-US" w:eastAsia="zh-CN" w:bidi="ar-SA"/>
        </w:rPr>
        <w:t>研究</w:t>
      </w:r>
    </w:p>
    <w:p w14:paraId="29944B6F">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课题研究应深入学习践行新时代“枫桥经验”抓基层打基础，重心下移、力量下沉的内涵要求，结合传承弘扬“沂蒙精神”，健全完善矛盾风险源头预防、优先调解、运用法治、就地解决等机制方面研究提出符合临沂实际的相关理论成果，更好推动全市矛盾风险化解工作走深走实、取得实效。</w:t>
      </w:r>
    </w:p>
    <w:p w14:paraId="3A3986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55DCB9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 市国家保密局委托课题</w:t>
      </w:r>
    </w:p>
    <w:p w14:paraId="45350E83">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银雀山兵学文化中的保密思想对青少年保密教育的启示</w:t>
      </w:r>
    </w:p>
    <w:p w14:paraId="3E3AE85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成果要求：成果形式为论文或研究报告，委托方将视情择优向国家保密局期刊推荐。</w:t>
      </w:r>
    </w:p>
    <w:p w14:paraId="3BC143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w:t>
      </w:r>
      <w:r>
        <w:rPr>
          <w:rFonts w:hint="default" w:ascii="Times New Roman" w:hAnsi="Times New Roman" w:cs="Times New Roman"/>
          <w:color w:val="auto"/>
          <w:kern w:val="2"/>
          <w:sz w:val="32"/>
          <w:szCs w:val="32"/>
          <w:lang w:val="en-US" w:eastAsia="zh-CN" w:bidi="ar-SA"/>
        </w:rPr>
        <w:t>5</w:t>
      </w:r>
      <w:r>
        <w:rPr>
          <w:rFonts w:hint="default" w:ascii="Times New Roman" w:hAnsi="Times New Roman" w:eastAsia="仿宋_GB2312" w:cs="Times New Roman"/>
          <w:color w:val="auto"/>
          <w:kern w:val="2"/>
          <w:sz w:val="32"/>
          <w:szCs w:val="32"/>
          <w:lang w:val="en-US" w:eastAsia="zh-CN" w:bidi="ar-SA"/>
        </w:rPr>
        <w:t>年9月30日</w:t>
      </w:r>
    </w:p>
    <w:p w14:paraId="14A814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4.市妇联委托课题</w:t>
      </w:r>
    </w:p>
    <w:p w14:paraId="0FEB8F88">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题目：健全发挥家庭家教家风建设在基层治理中作用的机制</w:t>
      </w:r>
      <w:r>
        <w:rPr>
          <w:rFonts w:hint="default" w:ascii="Times New Roman" w:hAnsi="Times New Roman" w:cs="Times New Roman"/>
          <w:b/>
          <w:color w:val="auto"/>
          <w:kern w:val="2"/>
          <w:sz w:val="32"/>
          <w:szCs w:val="32"/>
          <w:lang w:val="en-US" w:eastAsia="zh-CN" w:bidi="ar-SA"/>
        </w:rPr>
        <w:t>研究</w:t>
      </w:r>
    </w:p>
    <w:p w14:paraId="58AC7144">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成果要求：课题研究必须具有学术价值、社会价值和实践意义，全面分析我市家庭家教家风建设工作的开展现状及问题，结合典型案例等，对下一步全市家庭家教家风建设、家庭教育指导服务体系建设、家校社协同育人工作、妇联组织开展家庭指导服务等提出对策建议。</w:t>
      </w:r>
    </w:p>
    <w:p w14:paraId="30695068">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时限：2025年6月30日</w:t>
      </w:r>
    </w:p>
    <w:p w14:paraId="32A2F2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5.市文联委托课题</w:t>
      </w:r>
    </w:p>
    <w:p w14:paraId="373AC3C3">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题目：党建领航赋能 推动新时代临沂文艺高质量发展研究</w:t>
      </w:r>
    </w:p>
    <w:p w14:paraId="0F40916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b w:val="0"/>
          <w:bCs w:val="0"/>
          <w:color w:val="auto"/>
          <w:kern w:val="2"/>
          <w:sz w:val="32"/>
          <w:szCs w:val="32"/>
          <w:lang w:val="en-US" w:eastAsia="zh-CN" w:bidi="ar-SA"/>
        </w:rPr>
        <w:t>①</w:t>
      </w:r>
      <w:r>
        <w:rPr>
          <w:rFonts w:hint="default" w:ascii="Times New Roman" w:hAnsi="Times New Roman" w:eastAsia="仿宋_GB2312" w:cs="Times New Roman"/>
          <w:b w:val="0"/>
          <w:bCs w:val="0"/>
          <w:color w:val="auto"/>
          <w:kern w:val="2"/>
          <w:sz w:val="32"/>
          <w:szCs w:val="32"/>
          <w:lang w:val="en-US" w:eastAsia="zh-CN" w:bidi="ar-SA"/>
        </w:rPr>
        <w:t>梳理总结临沂近些年来党领导文艺工作的经验做法</w:t>
      </w:r>
      <w:r>
        <w:rPr>
          <w:rFonts w:hint="default" w:ascii="Times New Roman" w:hAnsi="Times New Roman" w:cs="Times New Roman"/>
          <w:b w:val="0"/>
          <w:bCs w:val="0"/>
          <w:color w:val="auto"/>
          <w:kern w:val="2"/>
          <w:sz w:val="32"/>
          <w:szCs w:val="32"/>
          <w:lang w:val="en-US" w:eastAsia="zh-CN" w:bidi="ar-SA"/>
        </w:rPr>
        <w:t>。②</w:t>
      </w:r>
      <w:r>
        <w:rPr>
          <w:rFonts w:hint="default" w:ascii="Times New Roman" w:hAnsi="Times New Roman" w:eastAsia="仿宋_GB2312" w:cs="Times New Roman"/>
          <w:b w:val="0"/>
          <w:bCs w:val="0"/>
          <w:color w:val="auto"/>
          <w:kern w:val="2"/>
          <w:sz w:val="32"/>
          <w:szCs w:val="32"/>
          <w:lang w:val="en-US" w:eastAsia="zh-CN" w:bidi="ar-SA"/>
        </w:rPr>
        <w:t>紧密结合临沂实际，深入分析党建和文艺相融合方面存在的问题和不足</w:t>
      </w:r>
      <w:r>
        <w:rPr>
          <w:rFonts w:hint="default" w:ascii="Times New Roman" w:hAnsi="Times New Roman" w:cs="Times New Roman"/>
          <w:b w:val="0"/>
          <w:bCs w:val="0"/>
          <w:color w:val="auto"/>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党建赋能文艺工作的优势和特色。</w:t>
      </w:r>
      <w:r>
        <w:rPr>
          <w:rFonts w:hint="default" w:ascii="Times New Roman" w:hAnsi="Times New Roman" w:cs="Times New Roman"/>
          <w:b w:val="0"/>
          <w:bCs w:val="0"/>
          <w:color w:val="auto"/>
          <w:kern w:val="2"/>
          <w:sz w:val="32"/>
          <w:szCs w:val="32"/>
          <w:lang w:val="en-US" w:eastAsia="zh-CN" w:bidi="ar-SA"/>
        </w:rPr>
        <w:t>③</w:t>
      </w:r>
      <w:r>
        <w:rPr>
          <w:rFonts w:hint="default" w:ascii="Times New Roman" w:hAnsi="Times New Roman" w:eastAsia="仿宋_GB2312" w:cs="Times New Roman"/>
          <w:b w:val="0"/>
          <w:bCs w:val="0"/>
          <w:color w:val="auto"/>
          <w:kern w:val="2"/>
          <w:sz w:val="32"/>
          <w:szCs w:val="32"/>
          <w:lang w:val="en-US" w:eastAsia="zh-CN" w:bidi="ar-SA"/>
        </w:rPr>
        <w:t>从实践层面就党建和文艺深度融合、有效发挥领航赋能作用进行可行性研究，提出具体措施和方法路径。</w:t>
      </w:r>
    </w:p>
    <w:p w14:paraId="7C5C45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年8月15日</w:t>
      </w:r>
    </w:p>
    <w:p w14:paraId="36B837B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6. 市红十字会委托课题</w:t>
      </w:r>
    </w:p>
    <w:p w14:paraId="3FB1C90E">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题目：关于加强应急救护知识技能普及、提升社会自救互救能力的路径与机制研究</w:t>
      </w:r>
    </w:p>
    <w:p w14:paraId="5F7165F5">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①课题研究成果可以为论文或</w:t>
      </w:r>
      <w:r>
        <w:rPr>
          <w:rFonts w:hint="default" w:ascii="Times New Roman" w:hAnsi="Times New Roman" w:cs="Times New Roman"/>
          <w:b w:val="0"/>
          <w:bCs w:val="0"/>
          <w:color w:val="auto"/>
          <w:kern w:val="2"/>
          <w:sz w:val="32"/>
          <w:szCs w:val="32"/>
          <w:lang w:eastAsia="zh-CN" w:bidi="ar-SA"/>
        </w:rPr>
        <w:t>研究</w:t>
      </w:r>
      <w:r>
        <w:rPr>
          <w:rFonts w:hint="default" w:ascii="Times New Roman" w:hAnsi="Times New Roman" w:eastAsia="仿宋_GB2312" w:cs="Times New Roman"/>
          <w:b w:val="0"/>
          <w:bCs w:val="0"/>
          <w:color w:val="auto"/>
          <w:kern w:val="2"/>
          <w:sz w:val="32"/>
          <w:szCs w:val="32"/>
          <w:lang w:val="en-US" w:eastAsia="zh-CN" w:bidi="ar-SA"/>
        </w:rPr>
        <w:t>报告等形式</w:t>
      </w:r>
      <w:r>
        <w:rPr>
          <w:rFonts w:hint="default" w:ascii="Times New Roman" w:hAnsi="Times New Roman" w:cs="Times New Roman"/>
          <w:b w:val="0"/>
          <w:bCs w:val="0"/>
          <w:color w:val="auto"/>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②深入剖析我市红十字应急救护培训融入社会基层治理的现状、存在的问题</w:t>
      </w:r>
      <w:r>
        <w:rPr>
          <w:rFonts w:hint="default" w:ascii="Times New Roman" w:hAnsi="Times New Roman" w:cs="Times New Roman"/>
          <w:b w:val="0"/>
          <w:bCs w:val="0"/>
          <w:color w:val="auto"/>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③提出合理化建议，包括部门联动、财政支持、加强培训、增设硬件设施（AED）等</w:t>
      </w:r>
      <w:r>
        <w:rPr>
          <w:rFonts w:hint="default" w:ascii="Times New Roman" w:hAnsi="Times New Roman" w:cs="Times New Roman"/>
          <w:b w:val="0"/>
          <w:bCs w:val="0"/>
          <w:color w:val="auto"/>
          <w:kern w:val="2"/>
          <w:sz w:val="32"/>
          <w:szCs w:val="32"/>
          <w:lang w:eastAsia="zh-CN" w:bidi="ar-SA"/>
        </w:rPr>
        <w:t>。</w:t>
      </w:r>
    </w:p>
    <w:p w14:paraId="4C2DC9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55A2FD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7. 政协临沂市委员会办公室</w:t>
      </w:r>
    </w:p>
    <w:p w14:paraId="3ED9D0D6">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人民政协的鲜明中国特色和显著政治优势</w:t>
      </w:r>
    </w:p>
    <w:p w14:paraId="7A388AF5">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成果要求：</w:t>
      </w:r>
      <w:r>
        <w:rPr>
          <w:rFonts w:hint="default" w:ascii="Times New Roman" w:hAnsi="Times New Roman" w:cs="Times New Roman"/>
          <w:b w:val="0"/>
          <w:bCs w:val="0"/>
          <w:color w:val="auto"/>
          <w:kern w:val="2"/>
          <w:sz w:val="32"/>
          <w:szCs w:val="32"/>
          <w:lang w:val="en-US" w:eastAsia="zh-CN" w:bidi="ar-SA"/>
        </w:rPr>
        <w:t>①</w:t>
      </w:r>
      <w:r>
        <w:rPr>
          <w:rFonts w:hint="default" w:ascii="Times New Roman" w:hAnsi="Times New Roman" w:eastAsia="仿宋_GB2312" w:cs="Times New Roman"/>
          <w:b w:val="0"/>
          <w:bCs w:val="0"/>
          <w:color w:val="auto"/>
          <w:kern w:val="2"/>
          <w:sz w:val="32"/>
          <w:szCs w:val="32"/>
          <w:lang w:val="en-US" w:eastAsia="zh-CN" w:bidi="ar-SA"/>
        </w:rPr>
        <w:t>须坚持正确导向，紧扣主题，注重理论概括和提炼。工作探索与创新类稿件应突出特色亮点，强化经验总结与理论提升，避免面面俱到、泛泛而谈。</w:t>
      </w:r>
      <w:r>
        <w:rPr>
          <w:rFonts w:hint="default" w:ascii="Times New Roman" w:hAnsi="Times New Roman" w:cs="Times New Roman"/>
          <w:b w:val="0"/>
          <w:bCs w:val="0"/>
          <w:color w:val="auto"/>
          <w:kern w:val="2"/>
          <w:sz w:val="32"/>
          <w:szCs w:val="32"/>
          <w:lang w:val="en-US" w:eastAsia="zh-CN" w:bidi="ar-SA"/>
        </w:rPr>
        <w:t>②</w:t>
      </w:r>
      <w:r>
        <w:rPr>
          <w:rFonts w:hint="default" w:ascii="Times New Roman" w:hAnsi="Times New Roman" w:eastAsia="仿宋_GB2312" w:cs="Times New Roman"/>
          <w:b w:val="0"/>
          <w:bCs w:val="0"/>
          <w:color w:val="auto"/>
          <w:kern w:val="2"/>
          <w:sz w:val="32"/>
          <w:szCs w:val="32"/>
          <w:lang w:val="en-US" w:eastAsia="zh-CN" w:bidi="ar-SA"/>
        </w:rPr>
        <w:t>未在其他出版物公开发表过，引文注释应规范准确，字数在5000字左右。</w:t>
      </w:r>
      <w:r>
        <w:rPr>
          <w:rFonts w:hint="default" w:ascii="Times New Roman" w:hAnsi="Times New Roman" w:cs="Times New Roman"/>
          <w:b w:val="0"/>
          <w:bCs w:val="0"/>
          <w:color w:val="auto"/>
          <w:kern w:val="2"/>
          <w:sz w:val="32"/>
          <w:szCs w:val="32"/>
          <w:lang w:val="en-US" w:eastAsia="zh-CN" w:bidi="ar-SA"/>
        </w:rPr>
        <w:t>③</w:t>
      </w:r>
      <w:r>
        <w:rPr>
          <w:rFonts w:hint="default" w:ascii="Times New Roman" w:hAnsi="Times New Roman" w:eastAsia="仿宋_GB2312" w:cs="Times New Roman"/>
          <w:b w:val="0"/>
          <w:bCs w:val="0"/>
          <w:color w:val="auto"/>
          <w:kern w:val="2"/>
          <w:sz w:val="32"/>
          <w:szCs w:val="32"/>
          <w:lang w:val="en-US" w:eastAsia="zh-CN" w:bidi="ar-SA"/>
        </w:rPr>
        <w:t>对优秀稿件将推荐参加山东省人民政协理论研究会理论研讨活动，推荐在《人民政协报》《中国政协》杂志上刊发。</w:t>
      </w:r>
    </w:p>
    <w:p w14:paraId="4BFC1C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w:t>
      </w:r>
      <w:r>
        <w:rPr>
          <w:rFonts w:hint="default" w:ascii="Times New Roman" w:hAnsi="Times New Roman" w:cs="Times New Roman"/>
          <w:color w:val="auto"/>
          <w:kern w:val="2"/>
          <w:sz w:val="32"/>
          <w:szCs w:val="32"/>
          <w:lang w:val="en-US" w:eastAsia="zh-CN" w:bidi="ar-SA"/>
        </w:rPr>
        <w:t>5</w:t>
      </w:r>
      <w:r>
        <w:rPr>
          <w:rFonts w:hint="default" w:ascii="Times New Roman" w:hAnsi="Times New Roman" w:eastAsia="仿宋_GB2312" w:cs="Times New Roman"/>
          <w:color w:val="auto"/>
          <w:kern w:val="2"/>
          <w:sz w:val="32"/>
          <w:szCs w:val="32"/>
          <w:lang w:val="en-US" w:eastAsia="zh-CN" w:bidi="ar-SA"/>
        </w:rPr>
        <w:t>年7月30日</w:t>
      </w:r>
    </w:p>
    <w:p w14:paraId="316E20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8. 民革临沂市委会委托课题</w:t>
      </w:r>
    </w:p>
    <w:p w14:paraId="01C03A59">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题目：关于发挥民革界别优势推进我市信访工作法治化的研究</w:t>
      </w:r>
    </w:p>
    <w:p w14:paraId="5801583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：结构严谨，逻辑清晰，采取“现状表述+问题剖析+意见建议”的架构，理论与实践相结合，数字准确、实例详实，字数不少于6000字。</w:t>
      </w:r>
    </w:p>
    <w:p w14:paraId="602BC3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年7月31日</w:t>
      </w:r>
    </w:p>
    <w:p w14:paraId="138841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9. 市中级人民法院委托课题</w:t>
      </w:r>
    </w:p>
    <w:p w14:paraId="7476D95F">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题目：上诉源治理问题研究</w:t>
      </w:r>
    </w:p>
    <w:p w14:paraId="3B7948E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成果要求：成果将应用于全市法院一审案件的实质解纷工作中，研究方向可以是综合性研究，也可以基于某个侧重点深入展开，要注重结合当前最高法院开展的库网建设等具体工作。</w:t>
      </w:r>
    </w:p>
    <w:p w14:paraId="3AA62A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年8月31日</w:t>
      </w:r>
    </w:p>
    <w:p w14:paraId="6F56FF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10. 市发改委委托课题</w:t>
      </w:r>
    </w:p>
    <w:p w14:paraId="4F439A3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题目：新时代临沂促进民营经济发展的路径探究</w:t>
      </w:r>
    </w:p>
    <w:p w14:paraId="21D1E49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结合临沂实际，提出促进民营经济发展的思路。</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能够为政府部门出台具有地方特色民营</w:t>
      </w:r>
      <w:r>
        <w:rPr>
          <w:rFonts w:hint="default" w:ascii="Times New Roman" w:hAnsi="Times New Roman" w:cs="Times New Roman"/>
          <w:color w:val="auto"/>
          <w:kern w:val="2"/>
          <w:sz w:val="32"/>
          <w:szCs w:val="32"/>
          <w:lang w:eastAsia="zh-CN" w:bidi="ar-SA"/>
        </w:rPr>
        <w:t>经济</w:t>
      </w:r>
      <w:r>
        <w:rPr>
          <w:rFonts w:hint="default" w:ascii="Times New Roman" w:hAnsi="Times New Roman" w:eastAsia="仿宋_GB2312" w:cs="Times New Roman"/>
          <w:color w:val="auto"/>
          <w:kern w:val="2"/>
          <w:sz w:val="32"/>
          <w:szCs w:val="32"/>
          <w:lang w:val="en-US" w:eastAsia="zh-CN" w:bidi="ar-SA"/>
        </w:rPr>
        <w:t>发展措施提供参考。</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提出的思路、措施不得与建设统一大市场精神相违背，确保各类经营主体平等使用生产要素、公平参与市场竞争。</w:t>
      </w:r>
    </w:p>
    <w:p w14:paraId="1D1943B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年7月31日</w:t>
      </w:r>
    </w:p>
    <w:p w14:paraId="19EE19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11. 市民政局委托课题</w:t>
      </w:r>
    </w:p>
    <w:p w14:paraId="18995A06">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题目：特困老年人需求分析及福利供给对策研究</w:t>
      </w:r>
    </w:p>
    <w:p w14:paraId="543461D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从我市实际情况出发，探索特困老人需求及福利供给，推进我市理论体系建构。</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侧重特困老人需求的细化研究，形成个体化需求分析理论，为优化我市特困救助供养政策内容及制度设计提供研究建议。</w:t>
      </w:r>
    </w:p>
    <w:p w14:paraId="7A6222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1B84B1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12. 市文旅局委托课题</w:t>
      </w:r>
    </w:p>
    <w:p w14:paraId="456BF40D">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题目：新型业态视域下公众考古实践路径探究——以临沂市文物资源活化利用为例</w:t>
      </w:r>
    </w:p>
    <w:p w14:paraId="782E436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b w:val="0"/>
          <w:bCs w:val="0"/>
          <w:color w:val="auto"/>
          <w:kern w:val="2"/>
          <w:sz w:val="32"/>
          <w:szCs w:val="32"/>
          <w:lang w:val="en-US" w:eastAsia="zh-CN" w:bidi="ar-SA"/>
        </w:rPr>
        <w:t>以临沂市文化遗产为研究对象，侧重古遗址、古建筑等文物资源，阐述新业态对公众考古的影响，并结合公众考古与研学旅游，系统探索文化遗产活化的实践路径。对临沂市文化遗产的活化现状进行深入分析，识别现存问题并评估发展潜力。在此基础上，构建公众考古与研学旅游深度融合的理论框架，并提出具有可操作性的文化遗产活化实施方案。</w:t>
      </w:r>
      <w:r>
        <w:rPr>
          <w:rFonts w:hint="default" w:ascii="Times New Roman" w:hAnsi="Times New Roman" w:cs="Times New Roman"/>
          <w:b w:val="0"/>
          <w:bCs w:val="0"/>
          <w:color w:val="auto"/>
          <w:kern w:val="2"/>
          <w:sz w:val="32"/>
          <w:szCs w:val="32"/>
          <w:lang w:val="en-US" w:eastAsia="zh-CN" w:bidi="ar-SA"/>
        </w:rPr>
        <w:t>②</w:t>
      </w:r>
      <w:r>
        <w:rPr>
          <w:rFonts w:hint="default" w:ascii="Times New Roman" w:hAnsi="Times New Roman" w:eastAsia="仿宋_GB2312" w:cs="Times New Roman"/>
          <w:b w:val="0"/>
          <w:bCs w:val="0"/>
          <w:color w:val="auto"/>
          <w:kern w:val="2"/>
          <w:sz w:val="32"/>
          <w:szCs w:val="32"/>
          <w:lang w:val="en-US" w:eastAsia="zh-CN" w:bidi="ar-SA"/>
        </w:rPr>
        <w:t>结题形式以研究报告结题，要突出地方特色、迎合当下、主题新颖，字数不少于8000字。</w:t>
      </w:r>
    </w:p>
    <w:p w14:paraId="613AF63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年8月30日</w:t>
      </w:r>
    </w:p>
    <w:p w14:paraId="31BAFA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13. 市应急管理局委托课题</w:t>
      </w:r>
    </w:p>
    <w:p w14:paraId="1E2A16F9">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题目：安全心理学在事故预防中的应用研究</w:t>
      </w:r>
    </w:p>
    <w:p w14:paraId="49AD3AD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以工矿商贸企业作业人员为研究对象，运用心理学原理方法探讨安全生产管理过程中行为人的心理规律，针对性提出加强安全管理、预防事故发生、减少人身伤害的对策建议，用于加强安全培训和安全宣传，提升企业安全文化和员工安全素质能力。</w:t>
      </w:r>
    </w:p>
    <w:p w14:paraId="295DAB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年8月31日</w:t>
      </w:r>
    </w:p>
    <w:p w14:paraId="40EEA20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w:t>
      </w:r>
      <w:r>
        <w:rPr>
          <w:rFonts w:hint="default" w:ascii="Times New Roman" w:hAnsi="Times New Roman" w:cs="Times New Roman"/>
          <w:b w:val="0"/>
          <w:bCs w:val="0"/>
          <w:color w:val="auto"/>
          <w:kern w:val="2"/>
          <w:sz w:val="32"/>
          <w:szCs w:val="32"/>
          <w:lang w:val="en-US" w:eastAsia="zh-CN" w:bidi="ar-SA"/>
        </w:rPr>
        <w:t>为“安全心理学在事故预防中的应用研究”委托课题</w:t>
      </w:r>
      <w:r>
        <w:rPr>
          <w:rFonts w:hint="default" w:ascii="Times New Roman" w:hAnsi="Times New Roman" w:eastAsia="仿宋_GB2312" w:cs="Times New Roman"/>
          <w:b w:val="0"/>
          <w:bCs w:val="0"/>
          <w:color w:val="auto"/>
          <w:kern w:val="2"/>
          <w:sz w:val="32"/>
          <w:szCs w:val="32"/>
          <w:lang w:val="en-US" w:eastAsia="zh-CN" w:bidi="ar-SA"/>
        </w:rPr>
        <w:t>提供0.5万元课题经费。</w:t>
      </w:r>
    </w:p>
    <w:p w14:paraId="1E7110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14. 市审计局委托课题</w:t>
      </w:r>
    </w:p>
    <w:p w14:paraId="1AD2B078">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题目：①乡镇内部审计助力基层治理体制机制研究及实践探索；②人工智能驱动下审计信息化工作的研究与实践</w:t>
      </w:r>
    </w:p>
    <w:p w14:paraId="6276797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课题研究成果可以为研究报告、调研报告、论文等形式。通过开展课题研究，对如何加强乡镇内部审计工作、有效推动农村基层治理进行深入分析和研究，力求形成科学、清晰的乡镇内部审计理论架构，推动健全完善乡镇审计理论体系、建立符合中国国情和基层治理实际的乡镇内部审计模式，为推动全面从严治党向基层延伸、提升乡镇基层治理水平、促进清廉村居建设提供审计保障。</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①剖析审计工作变革。深入探究人工智能如何重塑审计工作模式，优化流程，革新技术方法，推动组织方式转变，形成条理清晰的分析报告，展现人工智能对审计行业的全方位影响。②梳理技术应用详情。详细梳理人工智能技术在审计中的应用场景，如风险评估、数据分析等。同时，列举典型审计大模型建设案例，阐述其设计思路，提供可借鉴的经验与方法。③总结实践应用成果。汇总人工智能技术方法在财务审计、合规审计等具体业务中的应用实践，呈现实际应用效果、遇到的问题及解决策略，形成2万字左右的调研报告，为审计工作提供切实可行的操作指南。</w:t>
      </w:r>
    </w:p>
    <w:p w14:paraId="16DF5D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4C9808F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委托方为“人工智能驱动下审计信息化工作的研究与实践”委托课题提供</w:t>
      </w:r>
      <w:r>
        <w:rPr>
          <w:rFonts w:hint="default" w:ascii="Times New Roman" w:hAnsi="Times New Roman" w:cs="Times New Roman"/>
          <w:b w:val="0"/>
          <w:bCs w:val="0"/>
          <w:color w:val="auto"/>
          <w:kern w:val="2"/>
          <w:sz w:val="32"/>
          <w:szCs w:val="32"/>
          <w:lang w:val="en-US" w:eastAsia="zh-CN" w:bidi="ar-SA"/>
        </w:rPr>
        <w:t>2</w:t>
      </w:r>
      <w:r>
        <w:rPr>
          <w:rFonts w:hint="default" w:ascii="Times New Roman" w:hAnsi="Times New Roman" w:eastAsia="仿宋_GB2312" w:cs="Times New Roman"/>
          <w:b w:val="0"/>
          <w:bCs w:val="0"/>
          <w:color w:val="auto"/>
          <w:kern w:val="2"/>
          <w:sz w:val="32"/>
          <w:szCs w:val="32"/>
          <w:lang w:val="en-US" w:eastAsia="zh-CN" w:bidi="ar-SA"/>
        </w:rPr>
        <w:t>万元课题经费。</w:t>
      </w:r>
    </w:p>
    <w:p w14:paraId="63CB53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15. 市国资委委托课题</w:t>
      </w:r>
    </w:p>
    <w:p w14:paraId="3E678261">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题目：法治维度下推动国资国企改革发展探索研究</w:t>
      </w:r>
    </w:p>
    <w:p w14:paraId="6824A073">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需立足习近平法治思想引领国资监管工作的具体实践，以健全我市国资监管制度体系、提升国资监管法治化水平、提高市属企业依法治企能力为着力点，探索运用法治思维能力的有效路径，为推动国资国企高质量</w:t>
      </w:r>
      <w:r>
        <w:rPr>
          <w:rFonts w:hint="default" w:ascii="Times New Roman" w:hAnsi="Times New Roman" w:cs="Times New Roman"/>
          <w:color w:val="auto"/>
          <w:kern w:val="2"/>
          <w:sz w:val="32"/>
          <w:szCs w:val="32"/>
          <w:lang w:eastAsia="zh-CN" w:bidi="ar-SA"/>
        </w:rPr>
        <w:t>发展</w:t>
      </w:r>
      <w:r>
        <w:rPr>
          <w:rFonts w:hint="default" w:ascii="Times New Roman" w:hAnsi="Times New Roman" w:eastAsia="仿宋_GB2312" w:cs="Times New Roman"/>
          <w:color w:val="auto"/>
          <w:kern w:val="2"/>
          <w:sz w:val="32"/>
          <w:szCs w:val="32"/>
          <w:lang w:val="en-US" w:eastAsia="zh-CN" w:bidi="ar-SA"/>
        </w:rPr>
        <w:t>筑牢法治保障。</w:t>
      </w:r>
    </w:p>
    <w:p w14:paraId="74A4C6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6F7B16F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16. 市粮食和物资储备局委托课题</w:t>
      </w:r>
    </w:p>
    <w:p w14:paraId="7E05D951">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题目：临沂市粮食安全及产业高质量发展中的检验检测保障研究</w:t>
      </w:r>
    </w:p>
    <w:p w14:paraId="7495E383">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成果要求：以调查研究报告形式开展，用事实和数据作为依据，紧密结合当前社会发展，剖析存在问题，字数不少于6000字，为我市粮食储备安全基础设施建设提供参考依据</w:t>
      </w:r>
      <w:r>
        <w:rPr>
          <w:rFonts w:hint="default" w:ascii="Times New Roman" w:hAnsi="Times New Roman" w:cs="Times New Roman"/>
          <w:color w:val="auto"/>
          <w:kern w:val="2"/>
          <w:sz w:val="32"/>
          <w:szCs w:val="32"/>
          <w:lang w:val="en-US" w:eastAsia="zh-CN" w:bidi="ar-SA"/>
        </w:rPr>
        <w:t>。</w:t>
      </w:r>
    </w:p>
    <w:p w14:paraId="61AA30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年7月30日</w:t>
      </w:r>
    </w:p>
    <w:p w14:paraId="50C740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17. 华东野战军总部旧址暨新四军军部旧址纪念馆-临沂大学 国家革命文物协同研究中心委托课题</w:t>
      </w:r>
    </w:p>
    <w:p w14:paraId="78054A7A">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题目：革命纪念馆与学校思政教育协同机制研究</w:t>
      </w:r>
    </w:p>
    <w:p w14:paraId="0B5CB4DE">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充实沂蒙革命文物与学校思政教育相关研究的理论文献</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为学校开展思政教育工作提供方法路径</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作为相关企事业单位等文化部门实践的指导性文献。</w:t>
      </w:r>
    </w:p>
    <w:p w14:paraId="05B763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23E6CAE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委托方为“革命纪念馆与学校思政教育协同机制研究”委托课题提供10万元课题经费。</w:t>
      </w:r>
    </w:p>
    <w:p w14:paraId="549C72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18. 市公路事业发展中心委托课题</w:t>
      </w:r>
    </w:p>
    <w:p w14:paraId="52A0D0A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题目：临沂市公路现代化科学养护管理体系探索与研究</w:t>
      </w:r>
    </w:p>
    <w:p w14:paraId="19C60375">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形成探索公路现代化养护途径，助推临沂交通高质量发展的课题研究报告，课题研究成果将为临沂市国省道公路现代化养护提供理论和实际指导，继而实现对路网路况的高效维护和管理，从而推动养护工作向安全、便捷、高效、绿色、经济、包容、韧性的可持续发展，同时提升养护资金使用效率和养护效能。</w:t>
      </w:r>
    </w:p>
    <w:p w14:paraId="2F7730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年8月31日</w:t>
      </w:r>
    </w:p>
    <w:p w14:paraId="633D51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19. 市交通运输执法支队委托课题</w:t>
      </w:r>
    </w:p>
    <w:p w14:paraId="191B924A">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题目：推广说理式执法创新执法服务新模式</w:t>
      </w:r>
      <w:r>
        <w:rPr>
          <w:rFonts w:hint="default" w:ascii="Times New Roman" w:hAnsi="Times New Roman" w:cs="Times New Roman"/>
          <w:b/>
          <w:color w:val="auto"/>
          <w:kern w:val="2"/>
          <w:sz w:val="32"/>
          <w:szCs w:val="32"/>
          <w:lang w:val="en-US" w:eastAsia="zh-CN" w:bidi="ar-SA"/>
        </w:rPr>
        <w:t xml:space="preserve"> </w:t>
      </w:r>
      <w:r>
        <w:rPr>
          <w:rFonts w:hint="default" w:ascii="Times New Roman" w:hAnsi="Times New Roman" w:eastAsia="仿宋_GB2312" w:cs="Times New Roman"/>
          <w:b/>
          <w:color w:val="auto"/>
          <w:kern w:val="2"/>
          <w:sz w:val="32"/>
          <w:szCs w:val="32"/>
          <w:lang w:val="en-US" w:eastAsia="zh-CN" w:bidi="ar-SA"/>
        </w:rPr>
        <w:t>优化交通运输法治化营商环境路径研究</w:t>
      </w:r>
    </w:p>
    <w:p w14:paraId="089518A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课题研究成果可以为论文、报告或专著等形式，主要包括该课题研究的目的和意义；研究成果的主要内容、重要观点或对策建议；成果的学术价值、应用价值，以及社会影响等内容。研究类型包括但不限于理论阐发、经验提炼、问题分析、对策建议等。</w:t>
      </w:r>
    </w:p>
    <w:p w14:paraId="3723F4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24615D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20. 市自然资源开发服务中心委托课题</w:t>
      </w:r>
    </w:p>
    <w:p w14:paraId="02282BE7">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题目：临沂地热产业与文旅康养产业协同发展研究</w:t>
      </w:r>
    </w:p>
    <w:p w14:paraId="2980A7C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对接政府工作报告“发挥自然生态、孝善文化、温泉资源等优势，建成运营‘蒙童小镇’，提速建设卧龙源华昌文旅综合体，争创国家级汤头温泉旅游度假区，打造‘康养圣地’”目标，分析地热温泉与红色旅游、生态旅游、医养结合的创新模式。</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调研现阶段临沂地热资源现状和地热资源利用情况，制定地热文旅品牌打造策略，设计“温泉+研学”“温泉+中医药”等特色产品的开发思路。</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提出地热资源开发与文旅康养产业链的开发思路。</w:t>
      </w:r>
      <w:r>
        <w:rPr>
          <w:rFonts w:hint="default" w:ascii="Times New Roman" w:hAnsi="Times New Roman" w:cs="Times New Roman"/>
          <w:color w:val="auto"/>
          <w:kern w:val="2"/>
          <w:sz w:val="32"/>
          <w:szCs w:val="32"/>
          <w:lang w:val="en-US" w:eastAsia="zh-CN" w:bidi="ar-SA"/>
        </w:rPr>
        <w:t>④</w:t>
      </w:r>
      <w:r>
        <w:rPr>
          <w:rFonts w:hint="default" w:ascii="Times New Roman" w:hAnsi="Times New Roman" w:eastAsia="仿宋_GB2312" w:cs="Times New Roman"/>
          <w:color w:val="auto"/>
          <w:kern w:val="2"/>
          <w:sz w:val="32"/>
          <w:szCs w:val="32"/>
          <w:lang w:val="en-US" w:eastAsia="zh-CN" w:bidi="ar-SA"/>
        </w:rPr>
        <w:t>编制《临沂地热文旅康养产业发展白皮书》，包含但不限于：地热资源现状、开发利用情况，地热文旅康养市场定位、品牌建设及推广等内容。</w:t>
      </w:r>
      <w:r>
        <w:rPr>
          <w:rFonts w:hint="default" w:ascii="Times New Roman" w:hAnsi="Times New Roman" w:cs="Times New Roman"/>
          <w:color w:val="auto"/>
          <w:kern w:val="2"/>
          <w:sz w:val="32"/>
          <w:szCs w:val="32"/>
          <w:lang w:val="en-US" w:eastAsia="zh-CN" w:bidi="ar-SA"/>
        </w:rPr>
        <w:t>⑤</w:t>
      </w:r>
      <w:r>
        <w:rPr>
          <w:rFonts w:hint="default" w:ascii="Times New Roman" w:hAnsi="Times New Roman" w:eastAsia="仿宋_GB2312" w:cs="Times New Roman"/>
          <w:color w:val="auto"/>
          <w:kern w:val="2"/>
          <w:sz w:val="32"/>
          <w:szCs w:val="32"/>
          <w:lang w:val="en-US" w:eastAsia="zh-CN" w:bidi="ar-SA"/>
        </w:rPr>
        <w:t>分析地热文旅项目投资风险，并结合临沂实际提出相应的应对和防控措施。</w:t>
      </w:r>
    </w:p>
    <w:p w14:paraId="789B113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年9月1日</w:t>
      </w:r>
    </w:p>
    <w:p w14:paraId="41823E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21. 市蒙山保护发展中心委托课题</w:t>
      </w:r>
    </w:p>
    <w:p w14:paraId="0E70ED04">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题目：沂蒙山世界地质公园文化挖掘与旅游融合策略研究</w:t>
      </w:r>
    </w:p>
    <w:p w14:paraId="0D1CFFC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研究成果将应用于临沂市沂蒙山世界地质公园的文化旅游发展规划中，旨在通过科学的策略建议，指导地质公园的文化挖掘与旅游融合实践，为地质公园的文化旅游发展提供有力的智力支持。</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成果形式</w:t>
      </w:r>
      <w:r>
        <w:rPr>
          <w:rFonts w:hint="default" w:ascii="Times New Roman" w:hAnsi="Times New Roman" w:cs="Times New Roman"/>
          <w:color w:val="auto"/>
          <w:kern w:val="2"/>
          <w:sz w:val="32"/>
          <w:szCs w:val="32"/>
          <w:lang w:val="en-US" w:eastAsia="zh-CN" w:bidi="ar-SA"/>
        </w:rPr>
        <w:t>为</w:t>
      </w:r>
      <w:r>
        <w:rPr>
          <w:rFonts w:hint="default" w:ascii="Times New Roman" w:hAnsi="Times New Roman" w:eastAsia="仿宋_GB2312" w:cs="Times New Roman"/>
          <w:color w:val="auto"/>
          <w:kern w:val="2"/>
          <w:sz w:val="32"/>
          <w:szCs w:val="32"/>
          <w:lang w:val="en-US" w:eastAsia="zh-CN" w:bidi="ar-SA"/>
        </w:rPr>
        <w:t>研究报告（含电子版）。</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研究内容需涵盖沂蒙山世界地质公园的文化资源现状、文化挖掘的深度与广度、旅游融合的策略与实施路径、预期经济效益与社会效益分析等方面。</w:t>
      </w:r>
      <w:r>
        <w:rPr>
          <w:rFonts w:hint="default" w:ascii="Times New Roman" w:hAnsi="Times New Roman" w:cs="Times New Roman"/>
          <w:color w:val="auto"/>
          <w:kern w:val="2"/>
          <w:sz w:val="32"/>
          <w:szCs w:val="32"/>
          <w:lang w:val="en-US" w:eastAsia="zh-CN" w:bidi="ar-SA"/>
        </w:rPr>
        <w:t>④</w:t>
      </w:r>
      <w:r>
        <w:rPr>
          <w:rFonts w:hint="default" w:ascii="Times New Roman" w:hAnsi="Times New Roman" w:eastAsia="仿宋_GB2312" w:cs="Times New Roman"/>
          <w:color w:val="auto"/>
          <w:kern w:val="2"/>
          <w:sz w:val="32"/>
          <w:szCs w:val="32"/>
          <w:lang w:val="en-US" w:eastAsia="zh-CN" w:bidi="ar-SA"/>
        </w:rPr>
        <w:t>报告中的数据、资料需来源可靠，分析严谨，结论明确。</w:t>
      </w:r>
    </w:p>
    <w:p w14:paraId="068AB8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4D0A13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22. 市文保古建筑研究所委托课题</w:t>
      </w:r>
    </w:p>
    <w:p w14:paraId="6ED17392">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①</w:t>
      </w:r>
      <w:r>
        <w:rPr>
          <w:rFonts w:hint="default" w:ascii="Times New Roman" w:hAnsi="Times New Roman" w:eastAsia="仿宋_GB2312" w:cs="Times New Roman"/>
          <w:b/>
          <w:color w:val="auto"/>
          <w:kern w:val="2"/>
          <w:sz w:val="32"/>
          <w:szCs w:val="32"/>
          <w:lang w:val="en-US" w:eastAsia="zh-CN" w:bidi="ar-SA"/>
        </w:rPr>
        <w:t>文旅融合背景下临沂市乡土建筑活化利用研究</w:t>
      </w:r>
      <w:r>
        <w:rPr>
          <w:rFonts w:hint="default" w:ascii="Times New Roman" w:hAnsi="Times New Roman" w:cs="Times New Roman"/>
          <w:b/>
          <w:color w:val="auto"/>
          <w:kern w:val="2"/>
          <w:sz w:val="32"/>
          <w:szCs w:val="32"/>
          <w:lang w:val="en-US" w:eastAsia="zh-CN" w:bidi="ar-SA"/>
        </w:rPr>
        <w:t>；②考古前置视角下的城市更新与历史文化遗产保护融合发展研究</w:t>
      </w:r>
    </w:p>
    <w:p w14:paraId="463E5D2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以研究报告或者学术论文形式提交研究成果。课题研究可以从以下几个方面开展：①全面调研临沂市古建筑并深入挖掘古建筑的历史文化内涵</w:t>
      </w:r>
      <w:r>
        <w:rPr>
          <w:rFonts w:hint="default" w:ascii="Times New Roman" w:hAnsi="Times New Roman"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②调研分析临沂市古建筑保护和利用情况，分析问题并总结经验</w:t>
      </w:r>
      <w:r>
        <w:rPr>
          <w:rFonts w:hint="default" w:ascii="Times New Roman" w:hAnsi="Times New Roman"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③探索研究临沂市古建筑的活化利用路径，为文旅融合发展和乡村振兴提供理论支持。</w:t>
      </w:r>
      <w:r>
        <w:rPr>
          <w:rFonts w:hint="default" w:ascii="Times New Roman" w:hAnsi="Times New Roman" w:cs="Times New Roman"/>
          <w:b/>
          <w:bCs/>
          <w:color w:val="auto"/>
          <w:kern w:val="2"/>
          <w:sz w:val="32"/>
          <w:szCs w:val="32"/>
          <w:lang w:val="en-US" w:eastAsia="zh-CN" w:bidi="ar-SA"/>
        </w:rPr>
        <w:t>课题2：</w:t>
      </w:r>
      <w:r>
        <w:rPr>
          <w:rFonts w:hint="default" w:ascii="Times New Roman" w:hAnsi="Times New Roman" w:cs="Times New Roman"/>
          <w:color w:val="auto"/>
          <w:kern w:val="2"/>
          <w:sz w:val="32"/>
          <w:szCs w:val="32"/>
          <w:lang w:val="en-US" w:eastAsia="zh-CN" w:bidi="ar-SA"/>
        </w:rPr>
        <w:t>①聚焦全市“两会”精神贯彻落实，结合时代背景开展调查研究，因地制宜地提出“既要利于工程建设，又要利于文物保护”的工作设想和建议。②课题研究侧重历史文化资源保护和利用，针对古建筑、古遗址等文物资源保护利用提出合理化建议，力求解决现有城市建设中的文物保护等问题，以期更好地引导文物资源实现可持续保护利用。③研究报告要内容详实，形式新颖，字数不少于8000字。</w:t>
      </w:r>
    </w:p>
    <w:p w14:paraId="5A76C5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课题1：2025</w:t>
      </w:r>
      <w:r>
        <w:rPr>
          <w:rFonts w:hint="default" w:ascii="Times New Roman" w:hAnsi="Times New Roman" w:eastAsia="仿宋_GB2312" w:cs="Times New Roman"/>
          <w:color w:val="auto"/>
          <w:kern w:val="2"/>
          <w:sz w:val="32"/>
          <w:szCs w:val="32"/>
          <w:lang w:val="en-US" w:eastAsia="zh-CN" w:bidi="ar-SA"/>
        </w:rPr>
        <w:t>年</w:t>
      </w:r>
      <w:r>
        <w:rPr>
          <w:rFonts w:hint="default" w:ascii="Times New Roman" w:hAnsi="Times New Roman" w:cs="Times New Roman"/>
          <w:color w:val="auto"/>
          <w:kern w:val="2"/>
          <w:sz w:val="32"/>
          <w:szCs w:val="32"/>
          <w:lang w:val="en-US" w:eastAsia="zh-CN" w:bidi="ar-SA"/>
        </w:rPr>
        <w:t>9</w:t>
      </w:r>
      <w:r>
        <w:rPr>
          <w:rFonts w:hint="default" w:ascii="Times New Roman" w:hAnsi="Times New Roman" w:eastAsia="仿宋_GB2312" w:cs="Times New Roman"/>
          <w:color w:val="auto"/>
          <w:kern w:val="2"/>
          <w:sz w:val="32"/>
          <w:szCs w:val="32"/>
          <w:lang w:val="en-US" w:eastAsia="zh-CN" w:bidi="ar-SA"/>
        </w:rPr>
        <w:t>月30日</w:t>
      </w:r>
      <w:r>
        <w:rPr>
          <w:rFonts w:hint="default" w:ascii="Times New Roman" w:hAnsi="Times New Roman" w:cs="Times New Roman"/>
          <w:color w:val="auto"/>
          <w:kern w:val="2"/>
          <w:sz w:val="32"/>
          <w:szCs w:val="32"/>
          <w:lang w:val="en-US" w:eastAsia="zh-CN" w:bidi="ar-SA"/>
        </w:rPr>
        <w:t>；</w:t>
      </w:r>
    </w:p>
    <w:p w14:paraId="2D000EA8">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cs="Times New Roman"/>
          <w:color w:val="auto"/>
          <w:kern w:val="2"/>
          <w:sz w:val="32"/>
          <w:szCs w:val="32"/>
          <w:lang w:val="en-US" w:eastAsia="zh-CN" w:bidi="ar-SA"/>
        </w:rPr>
        <w:t>课题2：2025年8月30日</w:t>
      </w:r>
    </w:p>
    <w:p w14:paraId="49181BA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委托方为“文旅融合背景下临沂市乡土建筑活化利用研究”委托课题提供</w:t>
      </w:r>
      <w:r>
        <w:rPr>
          <w:rFonts w:hint="default" w:ascii="Times New Roman" w:hAnsi="Times New Roman" w:cs="Times New Roman"/>
          <w:b w:val="0"/>
          <w:bCs w:val="0"/>
          <w:color w:val="auto"/>
          <w:kern w:val="2"/>
          <w:sz w:val="32"/>
          <w:szCs w:val="32"/>
          <w:lang w:val="en-US" w:eastAsia="zh-CN" w:bidi="ar-SA"/>
        </w:rPr>
        <w:t>2</w:t>
      </w:r>
      <w:r>
        <w:rPr>
          <w:rFonts w:hint="default" w:ascii="Times New Roman" w:hAnsi="Times New Roman" w:eastAsia="仿宋_GB2312" w:cs="Times New Roman"/>
          <w:b w:val="0"/>
          <w:bCs w:val="0"/>
          <w:color w:val="auto"/>
          <w:kern w:val="2"/>
          <w:sz w:val="32"/>
          <w:szCs w:val="32"/>
          <w:lang w:val="en-US" w:eastAsia="zh-CN" w:bidi="ar-SA"/>
        </w:rPr>
        <w:t>万元课题经费</w:t>
      </w:r>
      <w:r>
        <w:rPr>
          <w:rFonts w:hint="default" w:ascii="Times New Roman" w:hAnsi="Times New Roman" w:cs="Times New Roman"/>
          <w:b w:val="0"/>
          <w:bCs w:val="0"/>
          <w:color w:val="auto"/>
          <w:kern w:val="2"/>
          <w:sz w:val="32"/>
          <w:szCs w:val="32"/>
          <w:lang w:val="en-US" w:eastAsia="zh-CN" w:bidi="ar-SA"/>
        </w:rPr>
        <w:t>，为“考古前置视角下的城市更新与历史文化遗产保护融合发展研究”委托课题提供1万元课题经费</w:t>
      </w:r>
      <w:r>
        <w:rPr>
          <w:rFonts w:hint="default" w:ascii="Times New Roman" w:hAnsi="Times New Roman" w:eastAsia="仿宋_GB2312" w:cs="Times New Roman"/>
          <w:b w:val="0"/>
          <w:bCs w:val="0"/>
          <w:color w:val="auto"/>
          <w:kern w:val="2"/>
          <w:sz w:val="32"/>
          <w:szCs w:val="32"/>
          <w:lang w:val="en-US" w:eastAsia="zh-CN" w:bidi="ar-SA"/>
        </w:rPr>
        <w:t>。</w:t>
      </w:r>
    </w:p>
    <w:p w14:paraId="2338D8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23. 市人民医院委托课题</w:t>
      </w:r>
    </w:p>
    <w:p w14:paraId="7634ADD3">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题目：临沂市三级综合医院健康科普传播能力评估与提升路径研究</w:t>
      </w:r>
    </w:p>
    <w:p w14:paraId="0FC5595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成果要求：成果形式为研究报告或者正式发表的论文，研究报告要求1万字左右，重复率不得超过20%，研究成果要有数据、有观点、有思考、有建议，具有可操作性。</w:t>
      </w:r>
    </w:p>
    <w:p w14:paraId="5A48F9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年8月15日</w:t>
      </w:r>
    </w:p>
    <w:p w14:paraId="4BBAE1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24. 市中心医院委托课题</w:t>
      </w:r>
    </w:p>
    <w:p w14:paraId="2873B987">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①</w:t>
      </w:r>
      <w:r>
        <w:rPr>
          <w:rFonts w:hint="default" w:ascii="Times New Roman" w:hAnsi="Times New Roman" w:eastAsia="仿宋_GB2312" w:cs="Times New Roman"/>
          <w:b/>
          <w:color w:val="auto"/>
          <w:kern w:val="2"/>
          <w:sz w:val="32"/>
          <w:szCs w:val="32"/>
          <w:lang w:val="en-US" w:eastAsia="zh-CN" w:bidi="ar-SA"/>
        </w:rPr>
        <w:t>融媒体语境下医院文化品牌塑造与传播路径研究</w:t>
      </w:r>
      <w:r>
        <w:rPr>
          <w:rFonts w:hint="default" w:ascii="Times New Roman" w:hAnsi="Times New Roman" w:cs="Times New Roman"/>
          <w:b/>
          <w:color w:val="auto"/>
          <w:kern w:val="2"/>
          <w:sz w:val="32"/>
          <w:szCs w:val="32"/>
          <w:lang w:val="en-US" w:eastAsia="zh-CN" w:bidi="ar-SA"/>
        </w:rPr>
        <w:t>；②红医文化融入医院教学实践与医学生人才培养策略研究</w:t>
      </w:r>
    </w:p>
    <w:p w14:paraId="10BA020E">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成果形式为研究报告或论文。</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遵循科学的研究方法，确保数据的真实性和可靠性。提出新的观点、方法和策略，为医院文化品牌塑造与传播提供新的思路。研究成果应具有可操作性和可复制性，能够为医院提供切实可行的品牌传播策略。</w:t>
      </w:r>
    </w:p>
    <w:p w14:paraId="717C2C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2025年9月30日</w:t>
      </w:r>
    </w:p>
    <w:p w14:paraId="2F81B3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25. 中共兰山区委宣传部委托课题</w:t>
      </w:r>
    </w:p>
    <w:p w14:paraId="3AFD617D">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题目：信访法治化背景下涉法涉诉信访类型化治理策略研究</w:t>
      </w:r>
    </w:p>
    <w:p w14:paraId="3AA38323">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成果要求：分析当前涉法涉诉信访在国家提出推进信访法治化的背景下面临的形势和任务，研究提出对策措施，为加强</w:t>
      </w:r>
      <w:r>
        <w:rPr>
          <w:rFonts w:hint="default" w:ascii="Times New Roman" w:hAnsi="Times New Roman" w:cs="Times New Roman"/>
          <w:color w:val="auto"/>
          <w:kern w:val="2"/>
          <w:sz w:val="32"/>
          <w:szCs w:val="32"/>
          <w:lang w:eastAsia="zh-CN" w:bidi="ar-SA"/>
        </w:rPr>
        <w:t>信访</w:t>
      </w:r>
      <w:r>
        <w:rPr>
          <w:rFonts w:hint="default" w:ascii="Times New Roman" w:hAnsi="Times New Roman" w:eastAsia="仿宋_GB2312" w:cs="Times New Roman"/>
          <w:color w:val="auto"/>
          <w:kern w:val="2"/>
          <w:sz w:val="32"/>
          <w:szCs w:val="32"/>
          <w:lang w:val="en-US" w:eastAsia="zh-CN" w:bidi="ar-SA"/>
        </w:rPr>
        <w:t>法治建设提供决策建议，成果形式为调研报告。</w:t>
      </w:r>
    </w:p>
    <w:p w14:paraId="1FB866F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年7月1日</w:t>
      </w:r>
    </w:p>
    <w:p w14:paraId="4C5626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26. 中共蒙阴县委宣传部委托课题</w:t>
      </w:r>
    </w:p>
    <w:p w14:paraId="5DDBD336">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b/>
          <w:bCs/>
          <w:snapToGrid/>
          <w:color w:val="auto"/>
          <w:kern w:val="2"/>
          <w:sz w:val="32"/>
          <w:szCs w:val="32"/>
          <w:lang w:val="en-US" w:eastAsia="zh-CN" w:bidi="ar-SA"/>
        </w:rPr>
      </w:pPr>
      <w:r>
        <w:rPr>
          <w:rFonts w:hint="default" w:ascii="Times New Roman" w:hAnsi="Times New Roman" w:eastAsia="仿宋_GB2312" w:cs="Times New Roman"/>
          <w:b/>
          <w:bCs/>
          <w:snapToGrid/>
          <w:color w:val="auto"/>
          <w:kern w:val="2"/>
          <w:sz w:val="32"/>
          <w:szCs w:val="32"/>
          <w:lang w:val="en-US" w:eastAsia="zh-CN" w:bidi="ar-SA"/>
        </w:rPr>
        <w:t>题目：关于用好历史文化传承弘扬科学家精神的研究</w:t>
      </w:r>
      <w:r>
        <w:rPr>
          <w:rFonts w:hint="default" w:ascii="Times New Roman" w:hAnsi="Times New Roman" w:cs="Times New Roman"/>
          <w:b/>
          <w:bCs/>
          <w:snapToGrid/>
          <w:color w:val="auto"/>
          <w:kern w:val="2"/>
          <w:sz w:val="32"/>
          <w:szCs w:val="32"/>
          <w:lang w:val="en-US" w:eastAsia="zh-CN" w:bidi="ar-SA"/>
        </w:rPr>
        <w:t>——</w:t>
      </w:r>
      <w:r>
        <w:rPr>
          <w:rFonts w:hint="default" w:ascii="Times New Roman" w:hAnsi="Times New Roman" w:eastAsia="仿宋_GB2312" w:cs="Times New Roman"/>
          <w:b/>
          <w:bCs/>
          <w:snapToGrid/>
          <w:color w:val="auto"/>
          <w:kern w:val="2"/>
          <w:sz w:val="32"/>
          <w:szCs w:val="32"/>
          <w:lang w:val="en-US" w:eastAsia="zh-CN" w:bidi="ar-SA"/>
        </w:rPr>
        <w:t>以刘洪文化为例</w:t>
      </w:r>
    </w:p>
    <w:p w14:paraId="650DC8CD">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snapToGrid/>
          <w:color w:val="auto"/>
          <w:kern w:val="2"/>
          <w:sz w:val="32"/>
          <w:szCs w:val="32"/>
          <w:lang w:val="en-US" w:eastAsia="zh-CN" w:bidi="ar-SA"/>
        </w:rPr>
        <w:t>成果要求：研究成果要准确提炼弘扬利用刘洪文化方面的工作经验，要分析当前存在的主要问题，应有详实数据支撑或典型案例分析，并提出可操作性的措施或对策建议。成果形式包括但不限于研究报告、资政建议等。</w:t>
      </w:r>
    </w:p>
    <w:p w14:paraId="0EC30826">
      <w:pPr>
        <w:pStyle w:val="2"/>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snapToGrid/>
          <w:color w:val="auto"/>
          <w:kern w:val="2"/>
          <w:sz w:val="32"/>
          <w:szCs w:val="32"/>
          <w:lang w:val="en-US" w:eastAsia="zh-CN" w:bidi="ar-SA"/>
        </w:rPr>
        <w:t>时限：2025年9月30日</w:t>
      </w:r>
    </w:p>
    <w:p w14:paraId="4A7209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27. 罗庄区社科联、山东连胜体育产业有限公司委托课题</w:t>
      </w:r>
    </w:p>
    <w:p w14:paraId="27B0B117">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题目：基于体教融合背景下的青少年体质健康促进模式研究</w:t>
      </w:r>
    </w:p>
    <w:p w14:paraId="10C622B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①成果以调研报告、学术论文等形式提供</w:t>
      </w:r>
      <w:r>
        <w:rPr>
          <w:rFonts w:hint="default" w:ascii="Times New Roman" w:hAnsi="Times New Roman" w:cs="Times New Roman"/>
          <w:b w:val="0"/>
          <w:bCs w:val="0"/>
          <w:color w:val="auto"/>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②报告要基于体教融合和青少年体质健康发展现状分析</w:t>
      </w:r>
      <w:r>
        <w:rPr>
          <w:rFonts w:hint="default" w:ascii="Times New Roman" w:hAnsi="Times New Roman" w:cs="Times New Roman"/>
          <w:b w:val="0"/>
          <w:bCs w:val="0"/>
          <w:color w:val="auto"/>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③成果要充分分析体教改革和青少年体质健康促进存在的问题瓶颈、解决途径及对策</w:t>
      </w:r>
      <w:r>
        <w:rPr>
          <w:rFonts w:hint="default" w:ascii="Times New Roman" w:hAnsi="Times New Roman" w:cs="Times New Roman"/>
          <w:b w:val="0"/>
          <w:bCs w:val="0"/>
          <w:color w:val="auto"/>
          <w:kern w:val="2"/>
          <w:sz w:val="32"/>
          <w:szCs w:val="32"/>
          <w:lang w:val="en-US" w:eastAsia="zh-CN" w:bidi="ar-SA"/>
        </w:rPr>
        <w:t>建议</w:t>
      </w:r>
      <w:r>
        <w:rPr>
          <w:rFonts w:hint="default" w:ascii="Times New Roman" w:hAnsi="Times New Roman" w:eastAsia="仿宋_GB2312" w:cs="Times New Roman"/>
          <w:b w:val="0"/>
          <w:bCs w:val="0"/>
          <w:color w:val="auto"/>
          <w:kern w:val="2"/>
          <w:sz w:val="32"/>
          <w:szCs w:val="32"/>
          <w:lang w:val="en-US" w:eastAsia="zh-CN" w:bidi="ar-SA"/>
        </w:rPr>
        <w:t>。</w:t>
      </w:r>
    </w:p>
    <w:p w14:paraId="72955B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5CB7C99E">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委托方为“基于体教融合背景下的青少年体质健康促进模式研究”委托课题提供6万元课题经费。</w:t>
      </w:r>
    </w:p>
    <w:p w14:paraId="55D995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28. 河东区社科联委托课题</w:t>
      </w:r>
    </w:p>
    <w:p w14:paraId="0C0E73A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题目：新时代党的创新理论在基层传播途径与形式的研究</w:t>
      </w:r>
    </w:p>
    <w:p w14:paraId="7DB8869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成果要求：归纳整理近年基层理论武装工作的经验做法，结合新形势为下一步党的创新理论宣传工作提出意见建议，通过正确处理好党的领导与群众主体的关系以实现理论武装工作在基层深入开展。</w:t>
      </w:r>
    </w:p>
    <w:p w14:paraId="2EB531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627DC7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29. 兰陵县社科联委托课题</w:t>
      </w:r>
    </w:p>
    <w:p w14:paraId="6611CFB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题目：以“跨村联建”模式探索乡村振兴路径的对策研究</w:t>
      </w:r>
    </w:p>
    <w:p w14:paraId="12B1807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落实中央抓党建促乡村振兴工作要求，学习运用“千万工程”经验，打破“就村抓村”“各自为战”的惯性思维和路径依赖，以“跨村联建”模式推动乡村振兴，对联建示范片区进行基本分析，针对存在的问题提出对策建议，为领导决策提供参考。</w:t>
      </w:r>
    </w:p>
    <w:p w14:paraId="40BE64E5">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时限：2025年9月30日</w:t>
      </w:r>
    </w:p>
    <w:p w14:paraId="6C9A9C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30. 沂水县社科联委托课题</w:t>
      </w:r>
    </w:p>
    <w:p w14:paraId="288C55D2">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题目：数字乡村建设对城乡高质量融合发展的影响机制研究</w:t>
      </w:r>
    </w:p>
    <w:p w14:paraId="716F040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①系统梳理临沂市数字乡村建设以及城乡融合发展的现状和存在问题及障碍因素。②从实践层面系统探索临沂市数字乡村建设推动城乡融合发展的理论机理及实践经验，进行可行性研究，提出具体措施和</w:t>
      </w:r>
      <w:r>
        <w:rPr>
          <w:rFonts w:hint="default" w:ascii="Times New Roman" w:hAnsi="Times New Roman" w:cs="Times New Roman"/>
          <w:color w:val="auto"/>
          <w:kern w:val="2"/>
          <w:sz w:val="32"/>
          <w:szCs w:val="32"/>
          <w:lang w:val="en-US" w:eastAsia="zh-CN" w:bidi="ar-SA"/>
        </w:rPr>
        <w:t>方法思路</w:t>
      </w:r>
      <w:r>
        <w:rPr>
          <w:rFonts w:hint="default" w:ascii="Times New Roman" w:hAnsi="Times New Roman" w:eastAsia="仿宋_GB2312" w:cs="Times New Roman"/>
          <w:color w:val="auto"/>
          <w:kern w:val="2"/>
          <w:sz w:val="32"/>
          <w:szCs w:val="32"/>
          <w:lang w:val="en-US" w:eastAsia="zh-CN" w:bidi="ar-SA"/>
        </w:rPr>
        <w:t>，为临沂市数字乡村以及城乡融合建设提供参考。③成果形式可以为研究报告、论文、专著等形式，课题设计为方向性条目，可自选切入点。成果应具有原创性且未曾公开发表。</w:t>
      </w:r>
    </w:p>
    <w:p w14:paraId="31D9D4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32FD55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31. 沂南县社科联委托课题</w:t>
      </w:r>
    </w:p>
    <w:p w14:paraId="3D48607B">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题目：公共部门财务管理中的风险识别与控制策略</w:t>
      </w:r>
    </w:p>
    <w:p w14:paraId="05F685B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成果要求：研究成果能够为公共部门管理者提供风险识别和控制策略的参考，助力政策执行和政府管理创新。</w:t>
      </w:r>
    </w:p>
    <w:p w14:paraId="5ACBF5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0B367C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32. 平邑县社科联委托课题</w:t>
      </w:r>
    </w:p>
    <w:p w14:paraId="47AE77F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题目：孝善文化传承与乡村振兴协同发展机制研究</w:t>
      </w:r>
    </w:p>
    <w:p w14:paraId="2827027E">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成果要求：①成果以调研报告、学术论文、短视频等形式提供</w:t>
      </w:r>
      <w:r>
        <w:rPr>
          <w:rFonts w:hint="default" w:ascii="Times New Roman" w:hAnsi="Times New Roman"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②研究报告应具有理论深度和实践指导意义，并提出切实可行的实施路径、对策建议，能够为政府决策提供参考。③研究报告要求1万字左右，重复率不得超过15%。④借助数字技术，制作短视频，向社会公众普及孝善文化与乡村振兴的相关知识。</w:t>
      </w:r>
    </w:p>
    <w:p w14:paraId="1042A5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24160C9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委托方为“孝善文化传承与乡村振兴协同发展机制研究”委托课题提供</w:t>
      </w:r>
      <w:r>
        <w:rPr>
          <w:rFonts w:hint="default" w:ascii="Times New Roman" w:hAnsi="Times New Roman" w:cs="Times New Roman"/>
          <w:b w:val="0"/>
          <w:bCs w:val="0"/>
          <w:color w:val="auto"/>
          <w:kern w:val="2"/>
          <w:sz w:val="32"/>
          <w:szCs w:val="32"/>
          <w:lang w:val="en-US" w:eastAsia="zh-CN" w:bidi="ar-SA"/>
        </w:rPr>
        <w:t>0.5</w:t>
      </w:r>
      <w:r>
        <w:rPr>
          <w:rFonts w:hint="default" w:ascii="Times New Roman" w:hAnsi="Times New Roman" w:eastAsia="仿宋_GB2312" w:cs="Times New Roman"/>
          <w:b w:val="0"/>
          <w:bCs w:val="0"/>
          <w:color w:val="auto"/>
          <w:kern w:val="2"/>
          <w:sz w:val="32"/>
          <w:szCs w:val="32"/>
          <w:lang w:val="en-US" w:eastAsia="zh-CN" w:bidi="ar-SA"/>
        </w:rPr>
        <w:t>万元课题经费。</w:t>
      </w:r>
    </w:p>
    <w:p w14:paraId="5BFF89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33. 费县社科联委托课题</w:t>
      </w:r>
    </w:p>
    <w:p w14:paraId="60AB8381">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题目：临沂市红色文化遗产的旅游开发研究探析</w:t>
      </w:r>
    </w:p>
    <w:p w14:paraId="7AE1C28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成果要求：不少于8000字的研究报告，调研临沂市红色文化遗产的保护和利用现状，突破现有的发展思想禁锢，针对突出问题，因地制宜地提出红色文化遗产保护和旅游开发相契合的发展路径。</w:t>
      </w:r>
    </w:p>
    <w:p w14:paraId="29FA4E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412B58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34. 临沭县社科联委托课题</w:t>
      </w:r>
    </w:p>
    <w:p w14:paraId="7F43163A">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题目：未成年人检察工作中的心理支持及家庭教育指导研究</w:t>
      </w:r>
    </w:p>
    <w:p w14:paraId="437A18F2">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系统回顾临沭县人民检察院未成年人检查工作中的成功经验与面临挑战，加强新形势下未成年人检查工作中的心理支持与家庭教育应用研究，形成科学全面的涉事涉罪未成年人家庭教育实务手册。②整合涉事涉罪未成年人个体心理辅导和家庭治疗案例，提炼心理支持与心理辅导的“临床经验</w:t>
      </w:r>
      <w:r>
        <w:rPr>
          <w:rFonts w:hint="eastAsia" w:ascii="Times New Roman" w:hAnsi="Times New Roman" w:cs="Times New Roman"/>
          <w:color w:val="auto"/>
          <w:kern w:val="2"/>
          <w:sz w:val="32"/>
          <w:szCs w:val="32"/>
          <w:lang w:val="en-US" w:eastAsia="zh-CN" w:bidi="ar-SA"/>
        </w:rPr>
        <w:t>——</w:t>
      </w:r>
      <w:r>
        <w:rPr>
          <w:rFonts w:hint="default" w:ascii="Times New Roman" w:hAnsi="Times New Roman" w:cs="Times New Roman"/>
          <w:color w:val="auto"/>
          <w:kern w:val="2"/>
          <w:sz w:val="32"/>
          <w:szCs w:val="32"/>
          <w:lang w:val="en-US" w:eastAsia="zh-CN" w:bidi="ar-SA"/>
        </w:rPr>
        <w:t>家庭适配”双维模型。③构建阶梯式培训课程体系，开发融合多种专业技术，形成针对家庭教育指导的标准化系统培训方案。</w:t>
      </w:r>
    </w:p>
    <w:p w14:paraId="4CE844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w:t>
      </w:r>
      <w:r>
        <w:rPr>
          <w:rFonts w:hint="default" w:ascii="Times New Roman" w:hAnsi="Times New Roman" w:cs="Times New Roman"/>
          <w:color w:val="auto"/>
          <w:kern w:val="2"/>
          <w:sz w:val="32"/>
          <w:szCs w:val="32"/>
          <w:lang w:val="en-US" w:eastAsia="zh-CN" w:bidi="ar-SA"/>
        </w:rPr>
        <w:t>9</w:t>
      </w:r>
      <w:r>
        <w:rPr>
          <w:rFonts w:hint="default" w:ascii="Times New Roman" w:hAnsi="Times New Roman" w:eastAsia="仿宋_GB2312" w:cs="Times New Roman"/>
          <w:color w:val="auto"/>
          <w:kern w:val="2"/>
          <w:sz w:val="32"/>
          <w:szCs w:val="32"/>
          <w:lang w:val="en-US" w:eastAsia="zh-CN" w:bidi="ar-SA"/>
        </w:rPr>
        <w:t>月30日</w:t>
      </w:r>
    </w:p>
    <w:p w14:paraId="3EBC25E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委托方为“未成年人检察工作中的心理支持及家庭教育指导研究”委托课题提供</w:t>
      </w:r>
      <w:r>
        <w:rPr>
          <w:rFonts w:hint="default" w:ascii="Times New Roman" w:hAnsi="Times New Roman" w:cs="Times New Roman"/>
          <w:b w:val="0"/>
          <w:bCs w:val="0"/>
          <w:color w:val="auto"/>
          <w:kern w:val="2"/>
          <w:sz w:val="32"/>
          <w:szCs w:val="32"/>
          <w:lang w:val="en-US" w:eastAsia="zh-CN" w:bidi="ar-SA"/>
        </w:rPr>
        <w:t>3</w:t>
      </w:r>
      <w:r>
        <w:rPr>
          <w:rFonts w:hint="default" w:ascii="Times New Roman" w:hAnsi="Times New Roman" w:eastAsia="仿宋_GB2312" w:cs="Times New Roman"/>
          <w:b w:val="0"/>
          <w:bCs w:val="0"/>
          <w:color w:val="auto"/>
          <w:kern w:val="2"/>
          <w:sz w:val="32"/>
          <w:szCs w:val="32"/>
          <w:lang w:val="en-US" w:eastAsia="zh-CN" w:bidi="ar-SA"/>
        </w:rPr>
        <w:t>万元课题经费。</w:t>
      </w:r>
    </w:p>
    <w:p w14:paraId="70772CD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35. 郯城县文联委托课题</w:t>
      </w:r>
    </w:p>
    <w:p w14:paraId="12F3F297">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乡村振兴视域下农家书屋推进优质文化资源直达基层策略研究</w:t>
      </w:r>
    </w:p>
    <w:p w14:paraId="28D5B51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成果要求：①成果以学术论文或调研报告形式提供</w:t>
      </w:r>
      <w:r>
        <w:rPr>
          <w:rFonts w:hint="default" w:ascii="Times New Roman" w:hAnsi="Times New Roman"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②课题围绕国内研究现状，梳理相关研究成果，为课题研究提供理论支撑</w:t>
      </w:r>
      <w:r>
        <w:rPr>
          <w:rFonts w:hint="default" w:ascii="Times New Roman" w:hAnsi="Times New Roman"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③掌握临沂市农家书屋建设与服务的实践现状，分析存在的问题，指出乡村振兴视域下农家书屋推进优质文化资源直达基层策略，包括但不限于理论支撑、实践论证、问题分析、建议策略等，为全市农家书屋建设提供参考，持续增进民生福祉，建设“书香临沂”。</w:t>
      </w:r>
    </w:p>
    <w:p w14:paraId="1A4F60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0ACB6A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36. 临沂大学委托课题</w:t>
      </w:r>
    </w:p>
    <w:p w14:paraId="193366B8">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题目：①沂蒙革命文物与学校思政教育研究；②红医精神在医学教育中的创新实践</w:t>
      </w:r>
    </w:p>
    <w:p w14:paraId="3924C6B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研究成果用于助力临沂大学马克思主义学院山东省大中小学红色文化传承研究指导中心建设，以便更好推进临沂大学与临沂市中小学思政课的合作，成果形式为研究报告或咨政报告。</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研究成果用于探索红医精神在医学教育中的具体应用路径，形成一套可操作、可推广的教育模式，为临沂地区培养高素质医学人才提供实践指导，成果形式为研究报告或咨政报告。</w:t>
      </w:r>
    </w:p>
    <w:p w14:paraId="1F87CB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3731AC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37. 临沂职业学院委托课题</w:t>
      </w:r>
    </w:p>
    <w:p w14:paraId="79E8168B">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w:t>
      </w:r>
      <w:r>
        <w:rPr>
          <w:rFonts w:hint="default" w:ascii="Times New Roman" w:hAnsi="Times New Roman" w:cs="Times New Roman"/>
          <w:b/>
          <w:color w:val="auto"/>
          <w:kern w:val="2"/>
          <w:sz w:val="32"/>
          <w:szCs w:val="32"/>
          <w:lang w:val="en-US" w:eastAsia="zh-CN" w:bidi="ar-SA"/>
        </w:rPr>
        <w:t>①</w:t>
      </w:r>
      <w:r>
        <w:rPr>
          <w:rFonts w:hint="default" w:ascii="Times New Roman" w:hAnsi="Times New Roman" w:eastAsia="仿宋_GB2312" w:cs="Times New Roman"/>
          <w:b/>
          <w:color w:val="auto"/>
          <w:kern w:val="2"/>
          <w:sz w:val="32"/>
          <w:szCs w:val="32"/>
          <w:lang w:val="en-US" w:eastAsia="zh-CN" w:bidi="ar-SA"/>
        </w:rPr>
        <w:t>银发经济背景下临沂市康养产业发展研究；②农文旅融合背景下临沂旅游演艺发展路径研究</w:t>
      </w:r>
    </w:p>
    <w:p w14:paraId="48D1F76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课题研究必须具有社会价值，研究成果能够对临沂市康养产业发展现状以及面临问题进行分析，把握产业发展动向，提供临沂市银发经济发展和康养产业发展的对策和路径，研究成果以研究报告或学术论文形式呈现。</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课题研究成果可以研究报告或论文的形式提交，全面分析临沂旅游演艺的发展现状及问题，结合典型案例，提出具体可操作的对策建议，涵盖政策推动、市场开拓、品牌建设等方面，同时确保研究具有学术价值和实践意义。报告或论文应提供详细的调研数据与实证材料</w:t>
      </w:r>
      <w:r>
        <w:rPr>
          <w:rFonts w:hint="default" w:ascii="Times New Roman" w:hAnsi="Times New Roman" w:cs="Times New Roman"/>
          <w:color w:val="auto"/>
          <w:kern w:val="2"/>
          <w:sz w:val="32"/>
          <w:szCs w:val="32"/>
          <w:lang w:val="en-US" w:eastAsia="zh-CN" w:bidi="ar-SA"/>
        </w:rPr>
        <w:t>。</w:t>
      </w:r>
    </w:p>
    <w:p w14:paraId="74C571B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7BF875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38. 鲁南技师学院委托课题</w:t>
      </w:r>
    </w:p>
    <w:p w14:paraId="0A93EB84">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题目：沂蒙精神赋能高技能人才培养：工匠精神与红色基因融合育人模式研究</w:t>
      </w:r>
    </w:p>
    <w:p w14:paraId="2F0E095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需提交完整的研究报告，结构清晰，包含研究背景、方法、过程、结论及建议。</w:t>
      </w:r>
      <w:r>
        <w:rPr>
          <w:rFonts w:hint="default" w:ascii="Times New Roman" w:hAnsi="Times New Roman" w:cs="Times New Roman"/>
          <w:color w:val="auto"/>
          <w:kern w:val="2"/>
          <w:sz w:val="32"/>
          <w:szCs w:val="32"/>
          <w:lang w:val="en-US" w:eastAsia="zh-CN" w:bidi="ar-SA"/>
        </w:rPr>
        <w:t>②需</w:t>
      </w:r>
      <w:r>
        <w:rPr>
          <w:rFonts w:hint="default" w:ascii="Times New Roman" w:hAnsi="Times New Roman" w:eastAsia="仿宋_GB2312" w:cs="Times New Roman"/>
          <w:color w:val="auto"/>
          <w:kern w:val="2"/>
          <w:sz w:val="32"/>
          <w:szCs w:val="32"/>
          <w:lang w:val="en-US" w:eastAsia="zh-CN" w:bidi="ar-SA"/>
        </w:rPr>
        <w:t>发表高质量学术论文。</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研究需具备理论深度或学科交叉创新性，填补领域空白。</w:t>
      </w:r>
    </w:p>
    <w:p w14:paraId="79AD2C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6BDA640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39. 市文艺评论家协会委托课题</w:t>
      </w:r>
    </w:p>
    <w:p w14:paraId="16D753C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题目：①沂蒙精神主题文艺理论与评论研究；②中华美学精神融入地方高校学科教学研究</w:t>
      </w:r>
    </w:p>
    <w:p w14:paraId="6D90268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充实沂蒙精神主题文艺理论与文艺评论相关研究的理论文献</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作为高校相关课程讲授与研究的参考依据，为学校开展美育工作提供方法路径</w:t>
      </w:r>
      <w:r>
        <w:rPr>
          <w:rFonts w:hint="default" w:ascii="Times New Roman" w:hAnsi="Times New Roman" w:cs="Times New Roman"/>
          <w:color w:val="auto"/>
          <w:kern w:val="2"/>
          <w:sz w:val="32"/>
          <w:szCs w:val="32"/>
          <w:lang w:val="en-US" w:eastAsia="zh-CN" w:bidi="ar-SA"/>
        </w:rPr>
        <w:t>。③</w:t>
      </w:r>
      <w:r>
        <w:rPr>
          <w:rFonts w:hint="default" w:ascii="Times New Roman" w:hAnsi="Times New Roman" w:eastAsia="仿宋_GB2312" w:cs="Times New Roman"/>
          <w:color w:val="auto"/>
          <w:kern w:val="2"/>
          <w:sz w:val="32"/>
          <w:szCs w:val="32"/>
          <w:lang w:val="en-US" w:eastAsia="zh-CN" w:bidi="ar-SA"/>
        </w:rPr>
        <w:t>作为相关企事业单位等文化部门实践的指导性文献。</w:t>
      </w:r>
    </w:p>
    <w:p w14:paraId="3B94B0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7A00183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委托方为“沂蒙精神主题文艺理论与评论研究”委托课题提供1</w:t>
      </w:r>
      <w:r>
        <w:rPr>
          <w:rFonts w:hint="default" w:ascii="Times New Roman" w:hAnsi="Times New Roman" w:cs="Times New Roman"/>
          <w:b w:val="0"/>
          <w:bCs w:val="0"/>
          <w:color w:val="auto"/>
          <w:kern w:val="2"/>
          <w:sz w:val="32"/>
          <w:szCs w:val="32"/>
          <w:lang w:val="en-US" w:eastAsia="zh-CN" w:bidi="ar-SA"/>
        </w:rPr>
        <w:t>0</w:t>
      </w:r>
      <w:r>
        <w:rPr>
          <w:rFonts w:hint="default" w:ascii="Times New Roman" w:hAnsi="Times New Roman" w:eastAsia="仿宋_GB2312" w:cs="Times New Roman"/>
          <w:b w:val="0"/>
          <w:bCs w:val="0"/>
          <w:color w:val="auto"/>
          <w:kern w:val="2"/>
          <w:sz w:val="32"/>
          <w:szCs w:val="32"/>
          <w:lang w:val="en-US" w:eastAsia="zh-CN" w:bidi="ar-SA"/>
        </w:rPr>
        <w:t>万元课题经费</w:t>
      </w:r>
      <w:r>
        <w:rPr>
          <w:rFonts w:hint="default" w:ascii="Times New Roman" w:hAnsi="Times New Roman" w:cs="Times New Roman"/>
          <w:b w:val="0"/>
          <w:bCs w:val="0"/>
          <w:color w:val="auto"/>
          <w:kern w:val="2"/>
          <w:sz w:val="32"/>
          <w:szCs w:val="32"/>
          <w:lang w:val="en-US" w:eastAsia="zh-CN" w:bidi="ar-SA"/>
        </w:rPr>
        <w:t>，为“中华美学精神融入地方高校学科教学研究”委托课题提供10万元课题经费。</w:t>
      </w:r>
    </w:p>
    <w:p w14:paraId="7A7906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40. 市医院协会委托课题</w:t>
      </w:r>
    </w:p>
    <w:p w14:paraId="1E4422B3">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题目：①基于专常兼备的远程医疗服务体系平战转换应急保障策略研究；②医辅岗位用工职业稳定性对医疗非核心业务影响分析及对策研究</w:t>
      </w:r>
    </w:p>
    <w:p w14:paraId="11BD2AA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b/>
          <w:bCs/>
          <w:color w:val="auto"/>
          <w:kern w:val="2"/>
          <w:sz w:val="32"/>
          <w:szCs w:val="32"/>
          <w:lang w:val="en-US" w:eastAsia="zh-CN" w:bidi="ar-SA"/>
        </w:rPr>
        <w:t>课题1：</w:t>
      </w:r>
      <w:r>
        <w:rPr>
          <w:rFonts w:hint="default" w:ascii="Times New Roman" w:hAnsi="Times New Roman" w:cs="Times New Roman"/>
          <w:color w:val="auto"/>
          <w:kern w:val="2"/>
          <w:sz w:val="32"/>
          <w:szCs w:val="32"/>
          <w:lang w:val="en-US" w:eastAsia="zh-CN" w:bidi="ar-SA"/>
        </w:rPr>
        <w:t>成果形式为研究报告或论文。从提高远程医疗基础设施利用率，促进远程医疗服务体系的高效充分利用、增强平战转换应急保障的灵活性等方面，分析研究现代化突发事件紧急医学救援体系的构建，为提升远程医疗利用率，增强应急保障能力，完善现代化医疗救援体系提供参考与借鉴。</w:t>
      </w:r>
      <w:r>
        <w:rPr>
          <w:rFonts w:hint="default" w:ascii="Times New Roman" w:hAnsi="Times New Roman" w:cs="Times New Roman"/>
          <w:b/>
          <w:bCs/>
          <w:color w:val="auto"/>
          <w:kern w:val="2"/>
          <w:sz w:val="32"/>
          <w:szCs w:val="32"/>
          <w:lang w:val="en-US" w:eastAsia="zh-CN" w:bidi="ar-SA"/>
        </w:rPr>
        <w:t>课题2：</w:t>
      </w:r>
      <w:r>
        <w:rPr>
          <w:rFonts w:hint="default" w:ascii="Times New Roman" w:hAnsi="Times New Roman" w:cs="Times New Roman"/>
          <w:color w:val="auto"/>
          <w:kern w:val="2"/>
          <w:sz w:val="32"/>
          <w:szCs w:val="32"/>
          <w:lang w:val="en-US" w:eastAsia="zh-CN" w:bidi="ar-SA"/>
        </w:rPr>
        <w:t>成果形式为研究报告或论文。从医疗机构、医辅人员及其所在劳务公司等多维度共同分析研究医辅岗位职业稳定性问题，并提出有针对性的对策，为保障医疗服务的连续性和同质性提供参考和借鉴。</w:t>
      </w:r>
    </w:p>
    <w:p w14:paraId="3A225E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年9月30日</w:t>
      </w:r>
    </w:p>
    <w:p w14:paraId="42E2AC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41. 山东沂蒙交通新材料有限公司委托课题</w:t>
      </w:r>
    </w:p>
    <w:p w14:paraId="233A5F0E">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题目：交通基础设施投资对临沂市运输经济增长的贡献研究</w:t>
      </w:r>
    </w:p>
    <w:p w14:paraId="584CC92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kern w:val="2"/>
          <w:sz w:val="32"/>
          <w:szCs w:val="32"/>
          <w:lang w:val="en-US" w:eastAsia="zh-CN" w:bidi="ar-SA"/>
        </w:rPr>
        <w:t>①</w:t>
      </w:r>
      <w:r>
        <w:rPr>
          <w:rFonts w:hint="default" w:ascii="Times New Roman" w:hAnsi="Times New Roman" w:eastAsia="仿宋_GB2312" w:cs="Times New Roman"/>
          <w:color w:val="auto"/>
          <w:kern w:val="2"/>
          <w:sz w:val="32"/>
          <w:szCs w:val="32"/>
          <w:lang w:val="en-US" w:eastAsia="zh-CN" w:bidi="ar-SA"/>
        </w:rPr>
        <w:t>包括但不限于研究背景与目的阐述：清晰阐述开展本课题研究的时代背景，临沂市运输经济发展现状，明确研究交通基础设施投资对其增长贡献的目的与意义。现状分析：深入剖析临沂市交通基础设施投资规模、结构、布局以及运输经济的总量、增速、产业结构等现状，运用最新数据和图表直观呈现。关联机制分析：从理论和实证两方面，深入探究交通基础设施投资影响运输经济增长的传导机制，如通过降低运输成本、提高运输效率、吸引产业集聚等路径。</w:t>
      </w:r>
      <w:r>
        <w:rPr>
          <w:rFonts w:hint="default" w:ascii="Times New Roman" w:hAnsi="Times New Roman" w:cs="Times New Roman"/>
          <w:color w:val="auto"/>
          <w:kern w:val="2"/>
          <w:sz w:val="32"/>
          <w:szCs w:val="32"/>
          <w:lang w:val="en-US" w:eastAsia="zh-CN" w:bidi="ar-SA"/>
        </w:rPr>
        <w:t>②</w:t>
      </w:r>
      <w:r>
        <w:rPr>
          <w:rFonts w:hint="default" w:ascii="Times New Roman" w:hAnsi="Times New Roman" w:eastAsia="仿宋_GB2312" w:cs="Times New Roman"/>
          <w:color w:val="auto"/>
          <w:kern w:val="2"/>
          <w:sz w:val="32"/>
          <w:szCs w:val="32"/>
          <w:lang w:val="en-US" w:eastAsia="zh-CN" w:bidi="ar-SA"/>
        </w:rPr>
        <w:t>最终将研究成果转化为政府部门、交通企业等易于理解和应用的形式，如政策简报、咨询报告等，推动研究成果的实际应用。</w:t>
      </w:r>
    </w:p>
    <w:p w14:paraId="0BA99E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年8月30日</w:t>
      </w:r>
    </w:p>
    <w:p w14:paraId="6298B1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42. 山东国金科创投资有限公司委托课题</w:t>
      </w:r>
    </w:p>
    <w:p w14:paraId="361E1DC5">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题目：新质生产力背景下“人工智能+”与乡村振兴融合发展路径研究</w:t>
      </w:r>
    </w:p>
    <w:p w14:paraId="661CBBE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cs="Times New Roman"/>
          <w:color w:val="auto"/>
          <w:lang w:val="en-US" w:eastAsia="zh-CN"/>
        </w:rPr>
        <w:t>①报告应首先清晰界定新质生产力、人工智能和乡村振兴的相关概念，解释人工智能技术如何在乡村振兴的背景下推动生产力提升，并分析三者之间的互动机制。②报告中的所有结论必须基于充分且有力的数据支持，数据的来源应确保其科学性、合理性与权威性。③报告应确保研究成果具有学术深度，同时具备实际的政策和操作价值。④报告需要提出新的思路和创新路径，尤其是在人类活动与人工智能技术交汇的领域，提出不同于现有研究的见解。</w:t>
      </w:r>
    </w:p>
    <w:p w14:paraId="5BCC0A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w:t>
      </w:r>
      <w:r>
        <w:rPr>
          <w:rFonts w:hint="default" w:ascii="Times New Roman" w:hAnsi="Times New Roman" w:cs="Times New Roman"/>
          <w:color w:val="auto"/>
          <w:kern w:val="2"/>
          <w:sz w:val="32"/>
          <w:szCs w:val="32"/>
          <w:lang w:val="en-US" w:eastAsia="zh-CN" w:bidi="ar-SA"/>
        </w:rPr>
        <w:t>2025</w:t>
      </w:r>
      <w:r>
        <w:rPr>
          <w:rFonts w:hint="default" w:ascii="Times New Roman" w:hAnsi="Times New Roman" w:eastAsia="仿宋_GB2312" w:cs="Times New Roman"/>
          <w:color w:val="auto"/>
          <w:kern w:val="2"/>
          <w:sz w:val="32"/>
          <w:szCs w:val="32"/>
          <w:lang w:val="en-US" w:eastAsia="zh-CN" w:bidi="ar-SA"/>
        </w:rPr>
        <w:t>年9月1日</w:t>
      </w:r>
    </w:p>
    <w:p w14:paraId="54980BF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委托方为“新质生产力背景下</w:t>
      </w:r>
      <w:r>
        <w:rPr>
          <w:rFonts w:hint="default" w:ascii="Times New Roman" w:hAnsi="Times New Roman" w:cs="Times New Roman"/>
          <w:b w:val="0"/>
          <w:bCs w:val="0"/>
          <w:color w:val="auto"/>
          <w:kern w:val="2"/>
          <w:sz w:val="32"/>
          <w:szCs w:val="32"/>
          <w:lang w:eastAsia="zh-CN" w:bidi="ar-SA"/>
        </w:rPr>
        <w:t>‘</w:t>
      </w:r>
      <w:r>
        <w:rPr>
          <w:rFonts w:hint="default" w:ascii="Times New Roman" w:hAnsi="Times New Roman" w:eastAsia="仿宋_GB2312" w:cs="Times New Roman"/>
          <w:b w:val="0"/>
          <w:bCs w:val="0"/>
          <w:color w:val="auto"/>
          <w:kern w:val="2"/>
          <w:sz w:val="32"/>
          <w:szCs w:val="32"/>
          <w:lang w:val="en-US" w:eastAsia="zh-CN" w:bidi="ar-SA"/>
        </w:rPr>
        <w:t>人工智能+</w:t>
      </w:r>
      <w:r>
        <w:rPr>
          <w:rFonts w:hint="default" w:ascii="Times New Roman" w:hAnsi="Times New Roman" w:cs="Times New Roman"/>
          <w:b w:val="0"/>
          <w:bCs w:val="0"/>
          <w:color w:val="auto"/>
          <w:kern w:val="2"/>
          <w:sz w:val="32"/>
          <w:szCs w:val="32"/>
          <w:lang w:eastAsia="zh-CN" w:bidi="ar-SA"/>
        </w:rPr>
        <w:t>’</w:t>
      </w:r>
      <w:r>
        <w:rPr>
          <w:rFonts w:hint="default" w:ascii="Times New Roman" w:hAnsi="Times New Roman" w:eastAsia="仿宋_GB2312" w:cs="Times New Roman"/>
          <w:b w:val="0"/>
          <w:bCs w:val="0"/>
          <w:color w:val="auto"/>
          <w:kern w:val="2"/>
          <w:sz w:val="32"/>
          <w:szCs w:val="32"/>
          <w:lang w:val="en-US" w:eastAsia="zh-CN" w:bidi="ar-SA"/>
        </w:rPr>
        <w:t>与乡村振兴融合发展路径研究”委托课题提供</w:t>
      </w:r>
      <w:r>
        <w:rPr>
          <w:rFonts w:hint="default" w:ascii="Times New Roman" w:hAnsi="Times New Roman" w:cs="Times New Roman"/>
          <w:b w:val="0"/>
          <w:bCs w:val="0"/>
          <w:color w:val="auto"/>
          <w:kern w:val="2"/>
          <w:sz w:val="32"/>
          <w:szCs w:val="32"/>
          <w:lang w:val="en-US" w:eastAsia="zh-CN" w:bidi="ar-SA"/>
        </w:rPr>
        <w:t>6</w:t>
      </w:r>
      <w:r>
        <w:rPr>
          <w:rFonts w:hint="default" w:ascii="Times New Roman" w:hAnsi="Times New Roman" w:eastAsia="仿宋_GB2312" w:cs="Times New Roman"/>
          <w:b w:val="0"/>
          <w:bCs w:val="0"/>
          <w:color w:val="auto"/>
          <w:kern w:val="2"/>
          <w:sz w:val="32"/>
          <w:szCs w:val="32"/>
          <w:lang w:val="en-US" w:eastAsia="zh-CN" w:bidi="ar-SA"/>
        </w:rPr>
        <w:t>万元课题经费。</w:t>
      </w:r>
    </w:p>
    <w:p w14:paraId="39EF159F">
      <w:pPr>
        <w:keepNext/>
        <w:keepLines/>
        <w:pageBreakBefore w:val="0"/>
        <w:widowControl w:val="0"/>
        <w:kinsoku/>
        <w:wordWrap/>
        <w:overflowPunct/>
        <w:topLinePunct w:val="0"/>
        <w:autoSpaceDE/>
        <w:autoSpaceDN/>
        <w:bidi w:val="0"/>
        <w:spacing w:beforeLines="0" w:beforeAutospacing="0" w:afterLines="0" w:afterAutospacing="0" w:line="560" w:lineRule="exact"/>
        <w:ind w:firstLine="640" w:firstLineChars="200"/>
        <w:jc w:val="left"/>
        <w:textAlignment w:val="auto"/>
        <w:outlineLvl w:val="1"/>
        <w:rPr>
          <w:rFonts w:hint="default" w:ascii="Times New Roman" w:hAnsi="Times New Roman" w:eastAsia="黑体" w:cs="Times New Roman"/>
          <w:snapToGrid w:val="0"/>
          <w:color w:val="auto"/>
          <w:kern w:val="0"/>
          <w:sz w:val="32"/>
          <w:szCs w:val="21"/>
          <w:lang w:val="en-US" w:eastAsia="zh-CN" w:bidi="ar-SA"/>
        </w:rPr>
      </w:pPr>
      <w:r>
        <w:rPr>
          <w:rFonts w:hint="default" w:ascii="Times New Roman" w:hAnsi="Times New Roman" w:eastAsia="黑体" w:cs="Times New Roman"/>
          <w:snapToGrid w:val="0"/>
          <w:color w:val="auto"/>
          <w:kern w:val="0"/>
          <w:sz w:val="32"/>
          <w:szCs w:val="21"/>
          <w:lang w:val="en-US" w:eastAsia="zh-CN" w:bidi="ar-SA"/>
        </w:rPr>
        <w:t>四、社会科学普及应用重点研究课题</w:t>
      </w:r>
    </w:p>
    <w:p w14:paraId="5B5437E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（一）党的创新理论普及与应用研究</w:t>
      </w:r>
    </w:p>
    <w:p w14:paraId="552695A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（二）沂蒙精神普及与应用研究</w:t>
      </w:r>
    </w:p>
    <w:p w14:paraId="61D439E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（三）琅琊文化普及与应用研究</w:t>
      </w:r>
    </w:p>
    <w:p w14:paraId="011AA85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（四）新质社科普及与应用研究</w:t>
      </w:r>
    </w:p>
    <w:p w14:paraId="29F019D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（五）美德风尚普及与应用研究</w:t>
      </w:r>
    </w:p>
    <w:p w14:paraId="135AC02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（六）“与社科同行”科普成果传播创新研究</w:t>
      </w:r>
    </w:p>
    <w:p w14:paraId="29B322E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（七）“新时代老区新貌”村史编纂研究</w:t>
      </w:r>
    </w:p>
    <w:p w14:paraId="346C11E1">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仿宋" w:cs="Times New Roman"/>
          <w:b w:val="0"/>
          <w:bCs w:val="0"/>
          <w:color w:val="auto"/>
          <w:sz w:val="32"/>
          <w:szCs w:val="32"/>
          <w:lang w:val="en-US" w:eastAsia="zh-CN"/>
        </w:rPr>
      </w:pPr>
      <w:r>
        <w:rPr>
          <w:rFonts w:hint="default" w:ascii="Times New Roman" w:hAnsi="Times New Roman" w:cs="Times New Roman"/>
          <w:b/>
          <w:bCs/>
          <w:color w:val="auto"/>
          <w:lang w:val="en-US" w:eastAsia="zh-CN"/>
        </w:rPr>
        <w:t>申报注意事项</w:t>
      </w:r>
      <w:r>
        <w:rPr>
          <w:rFonts w:hint="default" w:ascii="Times New Roman" w:hAnsi="Times New Roman" w:cs="Times New Roman"/>
          <w:color w:val="auto"/>
          <w:lang w:val="en-US" w:eastAsia="zh-CN"/>
        </w:rPr>
        <w:t xml:space="preserve">：研究过程中应开展形式新颖的公益性科普活动。活动线下为主，线上同步，及时宣传活动成效，在市级以上媒体传播。“与社科同行”科普成果传播创新研究，应以线上直播同步融媒报道的形式，开展不少于6次系统性传播报道。立项后，应积极参与省市社科联组织的各类科普竞赛，参与承办、协办科普周、经验交流会等大型科普活动。结项时形成不少于5000字的经验启示类研究成果。 </w:t>
      </w:r>
    </w:p>
    <w:p w14:paraId="11374F43">
      <w:pPr>
        <w:rPr>
          <w:rFonts w:hint="default" w:ascii="Times New Roman" w:hAnsi="Times New Roman" w:eastAsia="黑体" w:cs="Times New Roman"/>
          <w:color w:val="auto"/>
          <w:sz w:val="32"/>
          <w:szCs w:val="32"/>
          <w:lang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5C9785-9B6A-4234-8DB2-905C04B32F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8CA58A1-EEC9-4894-9F77-295F298020EF}"/>
  </w:font>
  <w:font w:name="方正小标宋简体">
    <w:panose1 w:val="02000000000000000000"/>
    <w:charset w:val="86"/>
    <w:family w:val="auto"/>
    <w:pitch w:val="default"/>
    <w:sig w:usb0="00000001" w:usb1="080E0000" w:usb2="00000000" w:usb3="00000000" w:csb0="00040000" w:csb1="00000000"/>
    <w:embedRegular r:id="rId3" w:fontKey="{14F8A16A-E609-40FF-BEFB-2BC60901E7FE}"/>
  </w:font>
  <w:font w:name="楷体_GB2312">
    <w:panose1 w:val="02010609030101010101"/>
    <w:charset w:val="86"/>
    <w:family w:val="auto"/>
    <w:pitch w:val="default"/>
    <w:sig w:usb0="00000001" w:usb1="080E0000" w:usb2="00000000" w:usb3="00000000" w:csb0="00040000" w:csb1="00000000"/>
    <w:embedRegular r:id="rId4" w:fontKey="{8BC7BBFD-04DB-44A2-B65D-DA698F488FB5}"/>
  </w:font>
  <w:font w:name="仿宋">
    <w:panose1 w:val="02010609060101010101"/>
    <w:charset w:val="86"/>
    <w:family w:val="auto"/>
    <w:pitch w:val="default"/>
    <w:sig w:usb0="800002BF" w:usb1="38CF7CFA" w:usb2="00000016" w:usb3="00000000" w:csb0="00040001" w:csb1="00000000"/>
    <w:embedRegular r:id="rId5" w:fontKey="{7E12C279-CF29-4586-A750-884915552126}"/>
  </w:font>
  <w:font w:name="方正黑体简体">
    <w:altName w:val="方正小标宋简体"/>
    <w:panose1 w:val="02000000000000000000"/>
    <w:charset w:val="00"/>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29D8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C8C85D3">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C8C85D3">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503972"/>
    <w:rsid w:val="0631696C"/>
    <w:rsid w:val="065061E9"/>
    <w:rsid w:val="06EE2C48"/>
    <w:rsid w:val="0A7B72A1"/>
    <w:rsid w:val="12682DE7"/>
    <w:rsid w:val="1B131C78"/>
    <w:rsid w:val="24390B59"/>
    <w:rsid w:val="2B2F386A"/>
    <w:rsid w:val="32385EF0"/>
    <w:rsid w:val="35367CF0"/>
    <w:rsid w:val="3E222DC6"/>
    <w:rsid w:val="3E9402FD"/>
    <w:rsid w:val="443B0067"/>
    <w:rsid w:val="46207231"/>
    <w:rsid w:val="483250ED"/>
    <w:rsid w:val="4A7249E3"/>
    <w:rsid w:val="4C274D22"/>
    <w:rsid w:val="4D090380"/>
    <w:rsid w:val="5010226E"/>
    <w:rsid w:val="52C85E60"/>
    <w:rsid w:val="54503972"/>
    <w:rsid w:val="54B3589D"/>
    <w:rsid w:val="55D67CE1"/>
    <w:rsid w:val="570B3C28"/>
    <w:rsid w:val="5CA81314"/>
    <w:rsid w:val="5F006375"/>
    <w:rsid w:val="6ED36561"/>
    <w:rsid w:val="7ADF0D25"/>
    <w:rsid w:val="7E3E2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60" w:lineRule="exact"/>
      <w:ind w:firstLine="880" w:firstLineChars="200"/>
      <w:jc w:val="both"/>
    </w:pPr>
    <w:rPr>
      <w:rFonts w:ascii="Calibri" w:hAnsi="Calibri" w:eastAsia="仿宋_GB2312"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Times New Roman" w:hAnsi="Times New Roman" w:eastAsia="方正小标宋简体"/>
      <w:kern w:val="44"/>
      <w:sz w:val="44"/>
    </w:rPr>
  </w:style>
  <w:style w:type="paragraph" w:styleId="4">
    <w:name w:val="heading 2"/>
    <w:basedOn w:val="1"/>
    <w:next w:val="1"/>
    <w:autoRedefine/>
    <w:semiHidden/>
    <w:unhideWhenUsed/>
    <w:qFormat/>
    <w:uiPriority w:val="0"/>
    <w:pPr>
      <w:keepNext/>
      <w:keepLines/>
      <w:spacing w:beforeLines="0" w:beforeAutospacing="0" w:afterLines="0" w:afterAutospacing="0" w:line="560" w:lineRule="exact"/>
      <w:ind w:firstLine="420" w:firstLineChars="200"/>
      <w:jc w:val="left"/>
      <w:outlineLvl w:val="1"/>
    </w:pPr>
    <w:rPr>
      <w:rFonts w:ascii="Times New Roman" w:hAnsi="Times New Roman" w:eastAsia="黑体" w:cs="Arial"/>
      <w:snapToGrid w:val="0"/>
      <w:color w:val="000000"/>
      <w:kern w:val="0"/>
      <w:sz w:val="32"/>
      <w:szCs w:val="21"/>
      <w:lang w:eastAsia="en-US"/>
    </w:rPr>
  </w:style>
  <w:style w:type="paragraph" w:styleId="5">
    <w:name w:val="heading 3"/>
    <w:basedOn w:val="1"/>
    <w:next w:val="1"/>
    <w:autoRedefine/>
    <w:semiHidden/>
    <w:unhideWhenUsed/>
    <w:qFormat/>
    <w:uiPriority w:val="0"/>
    <w:pPr>
      <w:keepNext/>
      <w:keepLines/>
      <w:spacing w:beforeLines="0" w:beforeAutospacing="0" w:afterLines="0" w:afterAutospacing="0" w:line="560" w:lineRule="exact"/>
      <w:ind w:firstLine="420" w:firstLineChars="200"/>
      <w:outlineLvl w:val="2"/>
    </w:pPr>
    <w:rPr>
      <w:rFonts w:ascii="Times New Roman" w:hAnsi="Times New Roman" w:eastAsia="楷体_GB2312" w:cs="Arial"/>
      <w:snapToGrid w:val="0"/>
      <w:color w:val="000000"/>
      <w:kern w:val="0"/>
      <w:sz w:val="32"/>
      <w:szCs w:val="21"/>
      <w:lang w:eastAsia="en-US"/>
    </w:rPr>
  </w:style>
  <w:style w:type="paragraph" w:styleId="6">
    <w:name w:val="heading 4"/>
    <w:basedOn w:val="1"/>
    <w:next w:val="1"/>
    <w:autoRedefine/>
    <w:semiHidden/>
    <w:unhideWhenUsed/>
    <w:qFormat/>
    <w:uiPriority w:val="0"/>
    <w:pPr>
      <w:keepNext/>
      <w:keepLines/>
      <w:spacing w:before="80" w:beforeLines="80" w:beforeAutospacing="0" w:after="70" w:afterLines="70" w:afterAutospacing="0" w:line="560" w:lineRule="exact"/>
      <w:ind w:firstLine="0" w:firstLineChars="0"/>
      <w:jc w:val="center"/>
      <w:outlineLvl w:val="3"/>
    </w:pPr>
    <w:rPr>
      <w:rFonts w:ascii="Times New Roman" w:hAnsi="Times New Roman" w:eastAsia="楷体_GB2312" w:cs="Arial"/>
      <w:snapToGrid w:val="0"/>
      <w:color w:val="000000"/>
      <w:kern w:val="0"/>
      <w:sz w:val="32"/>
      <w:szCs w:val="21"/>
      <w:lang w:eastAsia="en-US"/>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560" w:lineRule="exact"/>
      <w:ind w:firstLine="420" w:firstLineChars="200"/>
    </w:pPr>
    <w:rPr>
      <w:rFonts w:ascii="仿宋" w:hAnsi="仿宋" w:eastAsia="仿宋_GB2312" w:cs="仿宋"/>
      <w:snapToGrid w:val="0"/>
      <w:color w:val="000000"/>
      <w:kern w:val="0"/>
      <w:szCs w:val="31"/>
      <w:lang w:eastAsia="en-US"/>
    </w:rPr>
  </w:style>
  <w:style w:type="paragraph" w:styleId="7">
    <w:name w:val="Body Text Indent"/>
    <w:basedOn w:val="1"/>
    <w:autoRedefine/>
    <w:qFormat/>
    <w:uiPriority w:val="0"/>
    <w:pPr>
      <w:spacing w:after="120" w:afterLines="0" w:afterAutospacing="0"/>
      <w:ind w:left="420" w:leftChars="200"/>
    </w:p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autoRedefine/>
    <w:qFormat/>
    <w:uiPriority w:val="0"/>
    <w:pPr>
      <w:ind w:left="0" w:leftChars="0" w:firstLine="420" w:firstLineChars="200"/>
    </w:pPr>
    <w:rPr>
      <w:rFonts w:ascii="Times New Roman" w:hAnsi="Times New Roman"/>
    </w:rPr>
  </w:style>
  <w:style w:type="paragraph" w:customStyle="1" w:styleId="13">
    <w:name w:val="大标题"/>
    <w:basedOn w:val="1"/>
    <w:autoRedefine/>
    <w:qFormat/>
    <w:uiPriority w:val="0"/>
    <w:pPr>
      <w:spacing w:line="560" w:lineRule="exact"/>
      <w:ind w:firstLine="420" w:firstLineChars="200"/>
      <w:jc w:val="center"/>
    </w:pPr>
    <w:rPr>
      <w:rFonts w:hint="eastAsia" w:ascii="方正小标宋简体" w:hAnsi="方正小标宋简体" w:eastAsia="方正小标宋简体" w:cs="方正小标宋简体"/>
      <w:sz w:val="44"/>
      <w:szCs w:val="24"/>
    </w:rPr>
  </w:style>
  <w:style w:type="paragraph" w:customStyle="1" w:styleId="14">
    <w:name w:val="署名标题"/>
    <w:basedOn w:val="1"/>
    <w:autoRedefine/>
    <w:qFormat/>
    <w:uiPriority w:val="0"/>
    <w:pPr>
      <w:spacing w:before="80" w:beforeLines="80" w:after="70" w:afterLines="70" w:line="560" w:lineRule="exact"/>
      <w:jc w:val="center"/>
    </w:pPr>
    <w:rPr>
      <w:rFonts w:hint="eastAsia" w:ascii="方正小标宋简体" w:hAnsi="方正小标宋简体" w:eastAsia="楷体_GB2312" w:cs="方正小标宋简体"/>
      <w:sz w:val="32"/>
      <w:szCs w:val="24"/>
    </w:rPr>
  </w:style>
  <w:style w:type="paragraph" w:customStyle="1" w:styleId="15">
    <w:name w:val="一级标题"/>
    <w:basedOn w:val="1"/>
    <w:qFormat/>
    <w:uiPriority w:val="0"/>
    <w:pPr>
      <w:adjustRightInd w:val="0"/>
      <w:snapToGrid w:val="0"/>
      <w:spacing w:line="560" w:lineRule="exact"/>
      <w:ind w:firstLine="420" w:firstLineChars="200"/>
      <w:jc w:val="both"/>
    </w:pPr>
    <w:rPr>
      <w:rFonts w:hint="eastAsia" w:ascii="方正小标宋简体" w:hAnsi="方正小标宋简体" w:eastAsia="黑体" w:cs="方正小标宋简体"/>
      <w:szCs w:val="24"/>
    </w:rPr>
  </w:style>
  <w:style w:type="paragraph" w:customStyle="1" w:styleId="16">
    <w:name w:val="二级标题"/>
    <w:basedOn w:val="1"/>
    <w:autoRedefine/>
    <w:qFormat/>
    <w:uiPriority w:val="0"/>
    <w:pPr>
      <w:spacing w:line="560" w:lineRule="exact"/>
      <w:ind w:firstLine="420" w:firstLineChars="200"/>
      <w:jc w:val="both"/>
    </w:pPr>
    <w:rPr>
      <w:rFonts w:hint="eastAsia" w:ascii="方正小标宋简体" w:hAnsi="方正小标宋简体" w:eastAsia="楷体_GB2312" w:cs="方正小标宋简体"/>
      <w:sz w:val="32"/>
      <w:szCs w:val="24"/>
    </w:rPr>
  </w:style>
  <w:style w:type="paragraph" w:customStyle="1" w:styleId="17">
    <w:name w:val="正文公文"/>
    <w:basedOn w:val="1"/>
    <w:autoRedefine/>
    <w:qFormat/>
    <w:uiPriority w:val="0"/>
    <w:pPr>
      <w:spacing w:line="560" w:lineRule="exact"/>
      <w:ind w:firstLine="420" w:firstLineChars="200"/>
      <w:jc w:val="both"/>
    </w:pPr>
    <w:rPr>
      <w:rFonts w:ascii="Times New Roman" w:hAnsi="Times New Roman" w:eastAsia="Times New Roman"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2025-03-25T07:57:00Z</dcterms:created>
  <dc:creator>雪狼</dc:creator>
  <cp:lastModifiedBy>雪狼</cp:lastModifiedBy>
  <dcterms:modified xsi:type="dcterms:W3CDTF">2025-03-25T07:59:50Z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D5960BE10D6841FFBF016E7A3638BA4F_11</vt:lpwstr>
  </property>
  <property fmtid="{D5CDD505-2E9C-101B-9397-08002B2CF9AE}" pid="4" name="KSOTemplateDocerSaveRecord">
    <vt:lpwstr>eyJoZGlkIjoiNDJhY2U3NjZhZjlhZDJmYTE2MDUxMGQxNzA3YzZmZDkiLCJ1c2VySWQiOiIzMjAwMTg2ODkifQ==</vt:lpwstr>
  </property>
</Properties>
</file>