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CESI黑体-GB2312" w:hAnsi="CESI黑体-GB2312" w:eastAsia="CESI黑体-GB2312" w:cs="CESI黑体-GB2312"/>
          <w:sz w:val="30"/>
          <w:szCs w:val="30"/>
        </w:rPr>
      </w:pPr>
      <w:r>
        <w:rPr>
          <w:rFonts w:hint="eastAsia" w:ascii="CESI黑体-GB2312" w:hAnsi="CESI黑体-GB2312" w:eastAsia="CESI黑体-GB2312" w:cs="CESI黑体-GB2312"/>
          <w:sz w:val="30"/>
          <w:szCs w:val="30"/>
        </w:rPr>
        <w:t>附件</w:t>
      </w:r>
      <w:r>
        <w:rPr>
          <w:rFonts w:hint="eastAsia" w:ascii="CESI黑体-GB2312" w:hAnsi="CESI黑体-GB2312" w:eastAsia="CESI黑体-GB2312" w:cs="CESI黑体-GB2312"/>
          <w:sz w:val="30"/>
          <w:szCs w:val="30"/>
          <w:lang w:val="en-US" w:eastAsia="zh-CN"/>
        </w:rPr>
        <w:t>1</w:t>
      </w:r>
      <w:r>
        <w:rPr>
          <w:rFonts w:hint="eastAsia" w:ascii="CESI黑体-GB2312" w:hAnsi="CESI黑体-GB2312" w:eastAsia="CESI黑体-GB2312" w:cs="CESI黑体-GB2312"/>
          <w:sz w:val="30"/>
          <w:szCs w:val="30"/>
        </w:rPr>
        <w:t>：</w:t>
      </w:r>
    </w:p>
    <w:p>
      <w:pPr>
        <w:jc w:val="center"/>
        <w:rPr>
          <w:rFonts w:hint="eastAsia" w:ascii="仿宋_GB2312" w:hAnsi="宋体" w:eastAsia="仿宋_GB2312"/>
          <w:b/>
          <w:sz w:val="36"/>
          <w:szCs w:val="36"/>
        </w:rPr>
      </w:pPr>
      <w:r>
        <w:rPr>
          <w:rFonts w:hint="eastAsia" w:ascii="CESI小标宋-GB2312" w:hAnsi="CESI小标宋-GB2312" w:eastAsia="CESI小标宋-GB2312" w:cs="CESI小标宋-GB2312"/>
          <w:b w:val="0"/>
          <w:bCs/>
          <w:sz w:val="36"/>
          <w:szCs w:val="36"/>
        </w:rPr>
        <w:t>20</w:t>
      </w:r>
      <w:r>
        <w:rPr>
          <w:rFonts w:hint="eastAsia" w:ascii="CESI小标宋-GB2312" w:hAnsi="CESI小标宋-GB2312" w:eastAsia="CESI小标宋-GB2312" w:cs="CESI小标宋-GB2312"/>
          <w:b w:val="0"/>
          <w:bCs/>
          <w:sz w:val="36"/>
          <w:szCs w:val="36"/>
          <w:lang w:val="en-US" w:eastAsia="zh-CN"/>
        </w:rPr>
        <w:t>21</w:t>
      </w:r>
      <w:r>
        <w:rPr>
          <w:rFonts w:hint="eastAsia" w:ascii="CESI小标宋-GB2312" w:hAnsi="CESI小标宋-GB2312" w:eastAsia="CESI小标宋-GB2312" w:cs="CESI小标宋-GB2312"/>
          <w:b w:val="0"/>
          <w:bCs/>
          <w:sz w:val="36"/>
          <w:szCs w:val="36"/>
        </w:rPr>
        <w:t>年度市级社科研究立项课题名单</w:t>
      </w:r>
    </w:p>
    <w:p>
      <w:pPr>
        <w:jc w:val="center"/>
        <w:rPr>
          <w:rFonts w:hint="eastAsia" w:ascii="黑体" w:eastAsia="黑体"/>
          <w:sz w:val="30"/>
          <w:szCs w:val="30"/>
          <w:lang w:eastAsia="zh-CN"/>
        </w:rPr>
      </w:pPr>
      <w:r>
        <w:rPr>
          <w:rFonts w:hint="eastAsia" w:ascii="黑体" w:eastAsia="黑体"/>
          <w:sz w:val="30"/>
          <w:szCs w:val="30"/>
        </w:rPr>
        <w:t>“联·资政咨询”品牌委托</w:t>
      </w:r>
      <w:r>
        <w:rPr>
          <w:rFonts w:hint="eastAsia" w:ascii="黑体" w:eastAsia="黑体"/>
          <w:sz w:val="30"/>
          <w:szCs w:val="30"/>
          <w:lang w:eastAsia="zh-CN"/>
        </w:rPr>
        <w:t>课题</w:t>
      </w:r>
    </w:p>
    <w:tbl>
      <w:tblPr>
        <w:tblStyle w:val="6"/>
        <w:tblW w:w="14937" w:type="dxa"/>
        <w:tblInd w:w="-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7"/>
        <w:gridCol w:w="5940"/>
        <w:gridCol w:w="1170"/>
        <w:gridCol w:w="930"/>
        <w:gridCol w:w="2055"/>
        <w:gridCol w:w="2295"/>
        <w:gridCol w:w="1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17"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黑体" w:eastAsia="黑体"/>
                <w:lang w:eastAsia="zh-CN"/>
              </w:rPr>
              <w:t>立项编号</w:t>
            </w:r>
          </w:p>
        </w:tc>
        <w:tc>
          <w:tcPr>
            <w:tcW w:w="594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黑体" w:eastAsia="黑体"/>
              </w:rPr>
              <w:t>课 题 名 称</w:t>
            </w:r>
          </w:p>
        </w:tc>
        <w:tc>
          <w:tcPr>
            <w:tcW w:w="117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黑体" w:eastAsia="黑体"/>
              </w:rPr>
              <w:t>预期成果</w:t>
            </w:r>
          </w:p>
        </w:tc>
        <w:tc>
          <w:tcPr>
            <w:tcW w:w="9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黑体" w:eastAsia="黑体"/>
              </w:rPr>
              <w:t>申报人</w:t>
            </w:r>
          </w:p>
        </w:tc>
        <w:tc>
          <w:tcPr>
            <w:tcW w:w="205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黑体" w:eastAsia="黑体"/>
                <w:lang w:eastAsia="zh-CN"/>
              </w:rPr>
              <w:t>委托</w:t>
            </w:r>
            <w:r>
              <w:rPr>
                <w:rFonts w:hint="eastAsia" w:ascii="黑体" w:eastAsia="黑体"/>
              </w:rPr>
              <w:t>单位</w:t>
            </w:r>
          </w:p>
        </w:tc>
        <w:tc>
          <w:tcPr>
            <w:tcW w:w="22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lang w:eastAsia="zh-CN"/>
              </w:rPr>
            </w:pPr>
            <w:r>
              <w:rPr>
                <w:rFonts w:hint="eastAsia" w:ascii="黑体" w:eastAsia="黑体"/>
                <w:lang w:eastAsia="zh-CN"/>
              </w:rPr>
              <w:t>申报人单位</w:t>
            </w:r>
          </w:p>
        </w:tc>
        <w:tc>
          <w:tcPr>
            <w:tcW w:w="12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kern w:val="2"/>
                <w:sz w:val="21"/>
                <w:szCs w:val="24"/>
                <w:lang w:val="en-US" w:eastAsia="zh-CN" w:bidi="ar-SA"/>
              </w:rPr>
            </w:pPr>
            <w:r>
              <w:rPr>
                <w:rFonts w:hint="eastAsia" w:ascii="黑体" w:eastAsia="黑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LX001</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新时期机关青年思想政治状况研究</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学术论文</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姜楠</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lang w:eastAsia="zh-CN"/>
              </w:rPr>
            </w:pPr>
            <w:r>
              <w:rPr>
                <w:rFonts w:hint="eastAsia" w:ascii="宋体" w:hAnsi="宋体" w:eastAsia="宋体" w:cs="宋体"/>
                <w:i w:val="0"/>
                <w:color w:val="000000"/>
                <w:kern w:val="0"/>
                <w:sz w:val="22"/>
                <w:szCs w:val="22"/>
                <w:u w:val="none"/>
                <w:lang w:val="en-US" w:eastAsia="zh-CN" w:bidi="ar"/>
              </w:rPr>
              <w:t>市委市直机关工委</w:t>
            </w:r>
          </w:p>
        </w:tc>
        <w:tc>
          <w:tcPr>
            <w:tcW w:w="229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费县胡阳镇人民政府</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LX002</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新时代机关青年干部思想政治状况研究</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夏铭飞</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lang w:eastAsia="zh-CN"/>
              </w:rPr>
            </w:pPr>
            <w:r>
              <w:rPr>
                <w:rFonts w:hint="eastAsia" w:ascii="宋体" w:hAnsi="宋体" w:eastAsia="宋体" w:cs="宋体"/>
                <w:i w:val="0"/>
                <w:color w:val="000000"/>
                <w:kern w:val="0"/>
                <w:sz w:val="22"/>
                <w:szCs w:val="22"/>
                <w:u w:val="none"/>
                <w:lang w:val="en-US" w:eastAsia="zh-CN" w:bidi="ar"/>
              </w:rPr>
              <w:t>市委市直机关工委</w:t>
            </w:r>
          </w:p>
        </w:tc>
        <w:tc>
          <w:tcPr>
            <w:tcW w:w="22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市政府研究室</w:t>
            </w:r>
          </w:p>
        </w:tc>
        <w:tc>
          <w:tcPr>
            <w:tcW w:w="12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LX003</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临沂市机关党建与业务工作融合途径研究</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学术论文</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巩政</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lang w:eastAsia="zh-CN"/>
              </w:rPr>
            </w:pPr>
            <w:r>
              <w:rPr>
                <w:rFonts w:hint="eastAsia" w:ascii="宋体" w:hAnsi="宋体" w:eastAsia="宋体" w:cs="宋体"/>
                <w:i w:val="0"/>
                <w:color w:val="000000"/>
                <w:kern w:val="0"/>
                <w:sz w:val="22"/>
                <w:szCs w:val="22"/>
                <w:u w:val="none"/>
                <w:lang w:val="en-US" w:eastAsia="zh-CN" w:bidi="ar"/>
              </w:rPr>
              <w:t>市委市直机关工委</w:t>
            </w:r>
          </w:p>
        </w:tc>
        <w:tc>
          <w:tcPr>
            <w:tcW w:w="229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临沂市委党校</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LX004</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抓“支部工作法”提升支部活力，拓展机关党建与业务工作融合途径</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廉玲玲</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市委市直机关工委</w:t>
            </w:r>
          </w:p>
        </w:tc>
        <w:tc>
          <w:tcPr>
            <w:tcW w:w="22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临沂大学</w:t>
            </w:r>
          </w:p>
        </w:tc>
        <w:tc>
          <w:tcPr>
            <w:tcW w:w="12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LX005</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关于临沂高质量发展综合绩效考核体系的研究</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王伟</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市委办公室</w:t>
            </w:r>
          </w:p>
        </w:tc>
        <w:tc>
          <w:tcPr>
            <w:tcW w:w="22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LX006</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临沂市高质量发展综合绩效考核体系研究</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李信利</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市委办公室</w:t>
            </w:r>
          </w:p>
        </w:tc>
        <w:tc>
          <w:tcPr>
            <w:tcW w:w="229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临沂大学</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LX007</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统一战线参与城市基层社会治理实践研究</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陈燕红</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市委统战部</w:t>
            </w:r>
          </w:p>
        </w:tc>
        <w:tc>
          <w:tcPr>
            <w:tcW w:w="22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lang w:eastAsia="zh-CN"/>
              </w:rPr>
            </w:pPr>
            <w:r>
              <w:rPr>
                <w:rFonts w:hint="eastAsia" w:ascii="宋体" w:hAnsi="宋体" w:eastAsia="宋体" w:cs="宋体"/>
                <w:i w:val="0"/>
                <w:color w:val="000000"/>
                <w:kern w:val="0"/>
                <w:sz w:val="22"/>
                <w:szCs w:val="22"/>
                <w:u w:val="none"/>
                <w:lang w:val="en-US" w:eastAsia="zh-CN" w:bidi="ar"/>
              </w:rPr>
              <w:t>临沂市委党校</w:t>
            </w:r>
          </w:p>
        </w:tc>
        <w:tc>
          <w:tcPr>
            <w:tcW w:w="12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LX008</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统战视角下新时代年轻一代非公有制经济人士企业家精神培育研究</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王亚鹏</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市委统战部</w:t>
            </w:r>
          </w:p>
        </w:tc>
        <w:tc>
          <w:tcPr>
            <w:tcW w:w="22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临沂大学沂水校区</w:t>
            </w:r>
          </w:p>
        </w:tc>
        <w:tc>
          <w:tcPr>
            <w:tcW w:w="12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LX009</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新时期高校归国人员统战工作调查分析——以临沂大学为例</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吴丽平</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市委统战部</w:t>
            </w:r>
          </w:p>
        </w:tc>
        <w:tc>
          <w:tcPr>
            <w:tcW w:w="229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临沂大学</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LX010</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兰山区以统战视角引领推动民营经济高质量发展研究</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毕颖</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市委统战部</w:t>
            </w:r>
          </w:p>
        </w:tc>
        <w:tc>
          <w:tcPr>
            <w:tcW w:w="22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兰山区委党校</w:t>
            </w:r>
          </w:p>
        </w:tc>
        <w:tc>
          <w:tcPr>
            <w:tcW w:w="12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LX011</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关于在打造乡村振兴齐鲁样板走在前列的实践与思考</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王聪聪</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市农业农村局</w:t>
            </w:r>
          </w:p>
        </w:tc>
        <w:tc>
          <w:tcPr>
            <w:tcW w:w="22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市政府研究室</w:t>
            </w:r>
          </w:p>
        </w:tc>
        <w:tc>
          <w:tcPr>
            <w:tcW w:w="12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LX012</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乡村振兴成样板，红嫂家乡谱新篇——沂南县常山庄片区创建乡村振兴齐鲁样板省级示范区的实践与探索</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李臣</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市农业农村局</w:t>
            </w:r>
          </w:p>
        </w:tc>
        <w:tc>
          <w:tcPr>
            <w:tcW w:w="22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lang w:eastAsia="zh-CN"/>
              </w:rPr>
            </w:pPr>
            <w:r>
              <w:rPr>
                <w:rFonts w:hint="eastAsia" w:ascii="宋体" w:hAnsi="宋体" w:eastAsia="宋体" w:cs="宋体"/>
                <w:i w:val="0"/>
                <w:color w:val="000000"/>
                <w:kern w:val="0"/>
                <w:sz w:val="22"/>
                <w:szCs w:val="22"/>
                <w:u w:val="none"/>
                <w:lang w:val="en-US" w:eastAsia="zh-CN" w:bidi="ar"/>
              </w:rPr>
              <w:t>沂南县农业农村局</w:t>
            </w:r>
          </w:p>
        </w:tc>
        <w:tc>
          <w:tcPr>
            <w:tcW w:w="12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LX013</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乡村振兴背景下农村电商人才培养的现实困境与突破路径——以临沂市高素质农民培育项目为例</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学术论文</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周蕾</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市农业农村局</w:t>
            </w:r>
          </w:p>
        </w:tc>
        <w:tc>
          <w:tcPr>
            <w:tcW w:w="22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山东省农业广播电视学校临沂市分校</w:t>
            </w:r>
          </w:p>
        </w:tc>
        <w:tc>
          <w:tcPr>
            <w:tcW w:w="12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LX014</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在打造乡村振兴齐鲁样板走在前列中的财政作用和实践</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赵振慧</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市农业农村局</w:t>
            </w:r>
          </w:p>
        </w:tc>
        <w:tc>
          <w:tcPr>
            <w:tcW w:w="22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lang w:eastAsia="zh-CN"/>
              </w:rPr>
            </w:pPr>
            <w:r>
              <w:rPr>
                <w:rFonts w:hint="eastAsia" w:ascii="宋体" w:hAnsi="宋体" w:eastAsia="宋体" w:cs="宋体"/>
                <w:i w:val="0"/>
                <w:color w:val="000000"/>
                <w:kern w:val="0"/>
                <w:sz w:val="22"/>
                <w:szCs w:val="22"/>
                <w:u w:val="none"/>
                <w:lang w:val="en-US" w:eastAsia="zh-CN" w:bidi="ar"/>
              </w:rPr>
              <w:t>临沂市财政局</w:t>
            </w:r>
          </w:p>
        </w:tc>
        <w:tc>
          <w:tcPr>
            <w:tcW w:w="12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LX015</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“党支部领办合作社”助力乡村振兴的实践与探索——以平邑县为例</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王晓</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市农业农村局</w:t>
            </w:r>
          </w:p>
        </w:tc>
        <w:tc>
          <w:tcPr>
            <w:tcW w:w="22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平邑县委党校</w:t>
            </w:r>
          </w:p>
        </w:tc>
        <w:tc>
          <w:tcPr>
            <w:tcW w:w="12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LX016</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乡村振兴背景下农业经济信息化问题及发展策略探析</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学术论文</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徐升</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市农业农村局</w:t>
            </w:r>
          </w:p>
        </w:tc>
        <w:tc>
          <w:tcPr>
            <w:tcW w:w="22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平邑县白彦镇人民政府</w:t>
            </w:r>
          </w:p>
        </w:tc>
        <w:tc>
          <w:tcPr>
            <w:tcW w:w="12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LX017</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 xml:space="preserve">关于在打造乡村振兴齐鲁样板走在前列的实践与思考  </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王占庆</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市农业农村局</w:t>
            </w:r>
          </w:p>
        </w:tc>
        <w:tc>
          <w:tcPr>
            <w:tcW w:w="22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临沂职业学院</w:t>
            </w:r>
          </w:p>
        </w:tc>
        <w:tc>
          <w:tcPr>
            <w:tcW w:w="12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LX018</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关于在打造乡村振兴齐鲁样板走在前列的实践与思考——以临沂市沂南县网格化管理为例</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房娟</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市农业农村局</w:t>
            </w:r>
          </w:p>
        </w:tc>
        <w:tc>
          <w:tcPr>
            <w:tcW w:w="22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LX019</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关于在打造乡村振兴齐鲁样板走在前列的实践与思考——以大审美经济形态下的临沂乡村旅游为例</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孙瑜</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市农业农村局</w:t>
            </w:r>
          </w:p>
        </w:tc>
        <w:tc>
          <w:tcPr>
            <w:tcW w:w="229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临沂大学</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LX020</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关于在打造乡村振兴齐鲁样板走在前列的实践与思考</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梅大伟</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市农业农村局</w:t>
            </w:r>
          </w:p>
        </w:tc>
        <w:tc>
          <w:tcPr>
            <w:tcW w:w="22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LX021</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临沂市在打造乡村振兴齐鲁样板中的语言景观和文化建设研究</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韩苗苗</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市农业农村局</w:t>
            </w:r>
          </w:p>
        </w:tc>
        <w:tc>
          <w:tcPr>
            <w:tcW w:w="22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LX022</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联系服务科技工作者机制的研究</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纪学师</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市科协</w:t>
            </w:r>
          </w:p>
        </w:tc>
        <w:tc>
          <w:tcPr>
            <w:tcW w:w="22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山东医学高等专科学校</w:t>
            </w:r>
          </w:p>
        </w:tc>
        <w:tc>
          <w:tcPr>
            <w:tcW w:w="12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LX023</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Style w:val="9"/>
                <w:lang w:val="en-US" w:eastAsia="zh-CN" w:bidi="ar"/>
              </w:rPr>
              <w:t>基于“理实一体+线上线下相结合”以医学生公益实践为主体的应急救护培训进校园路径研究</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于莉</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市红十字会</w:t>
            </w:r>
          </w:p>
        </w:tc>
        <w:tc>
          <w:tcPr>
            <w:tcW w:w="22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山东医学高等专科学校</w:t>
            </w:r>
          </w:p>
        </w:tc>
        <w:tc>
          <w:tcPr>
            <w:tcW w:w="12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LX024</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应急救护培训进校园路径分析研究</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范新蕾</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市红十字会</w:t>
            </w:r>
          </w:p>
        </w:tc>
        <w:tc>
          <w:tcPr>
            <w:tcW w:w="22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山东医学高等专科学校</w:t>
            </w:r>
          </w:p>
        </w:tc>
        <w:tc>
          <w:tcPr>
            <w:tcW w:w="12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LX025</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应急救护培训进校园路径分析研究</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杨德山</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市红十字会</w:t>
            </w:r>
          </w:p>
        </w:tc>
        <w:tc>
          <w:tcPr>
            <w:tcW w:w="22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临沂职业学院</w:t>
            </w:r>
          </w:p>
        </w:tc>
        <w:tc>
          <w:tcPr>
            <w:tcW w:w="12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LX026</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应急救护培训进校园路径分析研究</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王俊磊</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市红十字会</w:t>
            </w:r>
          </w:p>
        </w:tc>
        <w:tc>
          <w:tcPr>
            <w:tcW w:w="22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lang w:eastAsia="zh-CN"/>
              </w:rPr>
            </w:pPr>
            <w:r>
              <w:rPr>
                <w:rFonts w:hint="eastAsia" w:ascii="宋体" w:hAnsi="宋体" w:eastAsia="宋体" w:cs="宋体"/>
                <w:i w:val="0"/>
                <w:color w:val="000000"/>
                <w:kern w:val="0"/>
                <w:sz w:val="22"/>
                <w:szCs w:val="22"/>
                <w:u w:val="none"/>
                <w:lang w:val="en-US" w:eastAsia="zh-CN" w:bidi="ar"/>
              </w:rPr>
              <w:t>临沂岔河小学</w:t>
            </w:r>
          </w:p>
        </w:tc>
        <w:tc>
          <w:tcPr>
            <w:tcW w:w="12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LX027</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高校应急救护培训效果提升对策研究</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钟文文</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市红十字会</w:t>
            </w:r>
          </w:p>
        </w:tc>
        <w:tc>
          <w:tcPr>
            <w:tcW w:w="229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临沂大学</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1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LX028</w:t>
            </w:r>
          </w:p>
        </w:tc>
        <w:tc>
          <w:tcPr>
            <w:tcW w:w="594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健康中国战略下，以党建引领卫生健康事业发展路径探索</w:t>
            </w:r>
          </w:p>
        </w:tc>
        <w:tc>
          <w:tcPr>
            <w:tcW w:w="117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9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陈倩</w:t>
            </w:r>
          </w:p>
        </w:tc>
        <w:tc>
          <w:tcPr>
            <w:tcW w:w="20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市卫健委</w:t>
            </w:r>
          </w:p>
        </w:tc>
        <w:tc>
          <w:tcPr>
            <w:tcW w:w="229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青岛理工大学（临沂）</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资助课题</w:t>
            </w:r>
          </w:p>
        </w:tc>
      </w:tr>
    </w:tbl>
    <w:p>
      <w:pPr>
        <w:pStyle w:val="2"/>
        <w:keepNext w:val="0"/>
        <w:keepLines w:val="0"/>
        <w:pageBreakBefore w:val="0"/>
        <w:kinsoku/>
        <w:wordWrap/>
        <w:overflowPunct/>
        <w:topLinePunct w:val="0"/>
        <w:autoSpaceDE/>
        <w:autoSpaceDN/>
        <w:bidi w:val="0"/>
        <w:adjustRightInd/>
        <w:snapToGrid/>
        <w:spacing w:line="400" w:lineRule="exact"/>
        <w:jc w:val="center"/>
        <w:rPr>
          <w:rFonts w:hint="eastAsia" w:ascii="黑体" w:hAnsi="Times New Roman" w:eastAsia="黑体" w:cs="Times New Roman"/>
          <w:kern w:val="2"/>
          <w:sz w:val="30"/>
          <w:szCs w:val="30"/>
          <w:lang w:val="en-US" w:eastAsia="zh-CN" w:bidi="ar-SA"/>
        </w:rPr>
      </w:pPr>
      <w:r>
        <w:rPr>
          <w:rFonts w:hint="eastAsia" w:ascii="黑体" w:hAnsi="Times New Roman" w:eastAsia="黑体" w:cs="Times New Roman"/>
          <w:kern w:val="2"/>
          <w:sz w:val="30"/>
          <w:szCs w:val="30"/>
          <w:lang w:val="en-US" w:eastAsia="zh-CN" w:bidi="ar-SA"/>
        </w:rPr>
        <w:t xml:space="preserve"> </w:t>
      </w:r>
    </w:p>
    <w:tbl>
      <w:tblPr>
        <w:tblStyle w:val="6"/>
        <w:tblW w:w="15120" w:type="dxa"/>
        <w:tblInd w:w="-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2"/>
        <w:gridCol w:w="7530"/>
        <w:gridCol w:w="1215"/>
        <w:gridCol w:w="1065"/>
        <w:gridCol w:w="2760"/>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32"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黑体" w:eastAsia="黑体"/>
                <w:lang w:eastAsia="zh-CN"/>
              </w:rPr>
              <w:t>立项编号</w:t>
            </w:r>
          </w:p>
        </w:tc>
        <w:tc>
          <w:tcPr>
            <w:tcW w:w="75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黑体" w:eastAsia="黑体"/>
              </w:rPr>
              <w:t>课 题 名 称</w:t>
            </w:r>
          </w:p>
        </w:tc>
        <w:tc>
          <w:tcPr>
            <w:tcW w:w="121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黑体" w:eastAsia="黑体"/>
              </w:rPr>
              <w:t>预期成果</w:t>
            </w:r>
          </w:p>
        </w:tc>
        <w:tc>
          <w:tcPr>
            <w:tcW w:w="106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黑体" w:eastAsia="黑体"/>
              </w:rPr>
              <w:t>申报人</w:t>
            </w:r>
          </w:p>
        </w:tc>
        <w:tc>
          <w:tcPr>
            <w:tcW w:w="276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黑体" w:eastAsia="黑体"/>
                <w:lang w:eastAsia="zh-CN"/>
              </w:rPr>
              <w:t>共建</w:t>
            </w:r>
            <w:r>
              <w:rPr>
                <w:rFonts w:hint="eastAsia" w:ascii="黑体" w:eastAsia="黑体"/>
              </w:rPr>
              <w:t>单位</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黑体" w:eastAsia="黑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LX029</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普通高中学校新高考备考工作质量评价方案</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宋玉柱</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临沂市教育科学研究与发展中心</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LX030</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临沂市创新创业生态环境调查与孵化载体发展模式研究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孔金花</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市科技局</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LX031</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“韧性城市”背景下，对临沂市防灾避险绿地的思考</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李玉光</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临沂市园林环卫保障服务中心</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LX032</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新时代国企践行沂蒙精神研究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陈庆村</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山东沂蒙交通投资发展集团有限公司</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LX033</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坚持立德树人 培育时代新人——习近平同志给蒙阴县小学生复信的研究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孙昌新</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蒙阴县委宣传部</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LX034</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“三步走”视角下乡村振兴代村模式长效发展研究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任传玲</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兰陵县代村、兰陵县县委党</w:t>
            </w:r>
            <w:bookmarkStart w:id="0" w:name="_GoBack"/>
            <w:bookmarkEnd w:id="0"/>
            <w:r>
              <w:rPr>
                <w:rFonts w:hint="eastAsia" w:ascii="宋体" w:hAnsi="宋体" w:eastAsia="宋体" w:cs="宋体"/>
                <w:i w:val="0"/>
                <w:color w:val="000000"/>
                <w:kern w:val="0"/>
                <w:sz w:val="22"/>
                <w:szCs w:val="22"/>
                <w:u w:val="none"/>
                <w:lang w:val="en-US" w:eastAsia="zh-CN" w:bidi="ar"/>
              </w:rPr>
              <w:t>校</w:t>
            </w:r>
          </w:p>
        </w:tc>
        <w:tc>
          <w:tcPr>
            <w:tcW w:w="121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LX035</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打造长三角中心城市农产品供应基地推动现代农业实现高质量发展的分析及研究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刘伟</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临沂市农业农村局</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LX036</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关于临沂市粮食生产供给侧结构性改革研究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江辉</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临沂市农业农村局</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LX037</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探索具有沂蒙特色的农业绿色发展模式</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凌凡舒</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临沂市农业农村局</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LX038</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关于加快普惠金融服务沂蒙乡村振兴的探索和实践</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张鹏程</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临沂市农业农村局</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LX039</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振兴非遗传统工艺打造临沂本土文化名片路径研究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张平</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临沂职业学院</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LX040</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完善“警种联动、警保联控、警民联防”机制  全面提升社会治理能力和水平</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朱茂臣</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市公安局</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LX041</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临沂市中心城区疏堵保畅的对策研究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王晖</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市公安交警支队</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LX042</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临沂市财政支持科技创新发展的调研思考</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王瑞芳</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临沂市财政局</w:t>
            </w:r>
          </w:p>
        </w:tc>
        <w:tc>
          <w:tcPr>
            <w:tcW w:w="121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LX043</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市域社会治理法治化实践路径研究——以临沂市为样本</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董双蕾</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市委办公室</w:t>
            </w:r>
          </w:p>
        </w:tc>
        <w:tc>
          <w:tcPr>
            <w:tcW w:w="121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cs="宋体"/>
                <w:color w:val="000000"/>
                <w:kern w:val="0"/>
                <w:sz w:val="22"/>
                <w:szCs w:val="22"/>
                <w:lang w:eastAsia="zh-CN"/>
              </w:rPr>
              <w:t>2021</w:t>
            </w:r>
            <w:r>
              <w:rPr>
                <w:rFonts w:hint="eastAsia" w:ascii="宋体" w:hAnsi="宋体" w:eastAsia="宋体" w:cs="宋体"/>
                <w:color w:val="000000"/>
                <w:kern w:val="0"/>
                <w:sz w:val="22"/>
                <w:szCs w:val="22"/>
              </w:rPr>
              <w:t>LX044</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关于推进新型智慧城市建设的调研与思考</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许丁元</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市政府研究室</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bl>
    <w:p>
      <w:pPr>
        <w:pStyle w:val="2"/>
        <w:keepNext w:val="0"/>
        <w:keepLines w:val="0"/>
        <w:pageBreakBefore w:val="0"/>
        <w:kinsoku/>
        <w:wordWrap/>
        <w:overflowPunct/>
        <w:topLinePunct w:val="0"/>
        <w:autoSpaceDE/>
        <w:autoSpaceDN/>
        <w:bidi w:val="0"/>
        <w:adjustRightInd/>
        <w:snapToGrid/>
        <w:spacing w:line="400" w:lineRule="exact"/>
        <w:jc w:val="center"/>
        <w:rPr>
          <w:rFonts w:hint="default" w:ascii="黑体" w:hAnsi="Times New Roman" w:eastAsia="黑体" w:cs="Times New Roman"/>
          <w:kern w:val="2"/>
          <w:sz w:val="30"/>
          <w:szCs w:val="30"/>
          <w:lang w:val="en-US" w:eastAsia="zh-CN" w:bidi="ar-SA"/>
        </w:rPr>
      </w:pPr>
    </w:p>
    <w:p>
      <w:pPr>
        <w:pStyle w:val="2"/>
        <w:keepNext w:val="0"/>
        <w:keepLines w:val="0"/>
        <w:pageBreakBefore w:val="0"/>
        <w:kinsoku/>
        <w:wordWrap/>
        <w:overflowPunct/>
        <w:topLinePunct w:val="0"/>
        <w:autoSpaceDE/>
        <w:autoSpaceDN/>
        <w:bidi w:val="0"/>
        <w:adjustRightInd/>
        <w:snapToGrid/>
        <w:spacing w:line="400" w:lineRule="exact"/>
        <w:jc w:val="center"/>
        <w:rPr>
          <w:rFonts w:hint="eastAsia"/>
          <w:lang w:eastAsia="zh-CN"/>
        </w:rPr>
      </w:pPr>
      <w:r>
        <w:rPr>
          <w:rFonts w:hint="eastAsia" w:ascii="黑体" w:hAnsi="Times New Roman" w:eastAsia="黑体" w:cs="Times New Roman"/>
          <w:kern w:val="2"/>
          <w:sz w:val="30"/>
          <w:szCs w:val="30"/>
          <w:lang w:val="en-US" w:eastAsia="zh-CN" w:bidi="ar-SA"/>
        </w:rPr>
        <w:t>综合课题</w:t>
      </w:r>
    </w:p>
    <w:tbl>
      <w:tblPr>
        <w:tblStyle w:val="6"/>
        <w:tblW w:w="15120" w:type="dxa"/>
        <w:tblInd w:w="-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2"/>
        <w:gridCol w:w="7530"/>
        <w:gridCol w:w="1215"/>
        <w:gridCol w:w="1065"/>
        <w:gridCol w:w="2760"/>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32"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黑体" w:eastAsia="黑体"/>
                <w:lang w:eastAsia="zh-CN"/>
              </w:rPr>
              <w:t>立项编号</w:t>
            </w:r>
          </w:p>
        </w:tc>
        <w:tc>
          <w:tcPr>
            <w:tcW w:w="75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黑体" w:eastAsia="黑体"/>
              </w:rPr>
              <w:t>课 题 名 称</w:t>
            </w:r>
          </w:p>
        </w:tc>
        <w:tc>
          <w:tcPr>
            <w:tcW w:w="121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黑体" w:eastAsia="黑体"/>
              </w:rPr>
              <w:t>预期成果</w:t>
            </w:r>
          </w:p>
        </w:tc>
        <w:tc>
          <w:tcPr>
            <w:tcW w:w="106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黑体" w:eastAsia="黑体"/>
              </w:rPr>
              <w:t>申报人</w:t>
            </w:r>
          </w:p>
        </w:tc>
        <w:tc>
          <w:tcPr>
            <w:tcW w:w="276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黑体" w:eastAsia="黑体"/>
                <w:lang w:eastAsia="zh-CN"/>
              </w:rPr>
              <w:t>所在</w:t>
            </w:r>
            <w:r>
              <w:rPr>
                <w:rFonts w:hint="eastAsia" w:ascii="黑体" w:eastAsia="黑体"/>
              </w:rPr>
              <w:t>单位</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黑体" w:eastAsia="黑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2021LX045</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全面从严治党视角下地市级三级综合医院党支部书记胜任力模型实证研究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魏薇</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临沂市人民医院</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2021LX046</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弘扬中国精神　实现伟大梦想</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邵光智</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沂水县社科联</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2021LX047</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全面从严治党在临沂的践行研究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蔺奉伟</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市纪委监委研究室</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2021LX048</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习近平生态文明思想在蒙阴实践研究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李砚</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2021LX049</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临沂市城市社区党组织建设研究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凌霄</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2021LX050</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中国共产党革命文化的内涵特征与时代价值</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解磊</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2021LX051</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创新临沂市基层意识形态工作研究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张继咪</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2021LX052</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党的纪律建设百年回顾及经验启示</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杨俊英</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2021LX053</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中国共产党百年党史学习研究（1921-2021）</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李桂峰</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2021LX054</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党建引领 文化搭台 团建融合育人模式研究——以临沂职业学院为例</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吕士华</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临沂职业学院</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2021LX055</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基于互联网+环境的高职院校党员分类管理模式构建与实践</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窦青嵩</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临沂职业学院</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2021LX056</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习近平文化自信思想在临沂的实践研究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张业蕾</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2021LX057</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基于革命文物保护视域下的沂蒙革命老区建国前红色文献出版及保护情况的调查与研究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沈晓艳</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临沂市图书馆</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2021LX058</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“春风童行·蔚蓝守护”涉案未成年人心理服务专业项目</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焦洪娟</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临沂市春风心理志愿服务中心</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2021LX059</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临沂市健康医疗大数据研究院建设模式探索</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袁小红</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临沂市人民医院</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2021LX060</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提升城市人文环境治理能力视阈下公共图书馆资源建设的法律困境及其应对</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薛艳</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费县图书馆</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2021LX061</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互助养老“时间银行”公益项目实践路径研究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王灵均</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临沂市高级财经学校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2021LX062</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加大资源整合力度，推进市属文旅场馆高质量发展</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林强</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市委编办</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2021LX063</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探索“枫桥经验”临沂新实践相关问题研究——以临沭县创新基层网格化治理为例</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李梦彬</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临沭县委党校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2021LX064</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新时代临沂市多层次养老服务体系构建研究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张伟娜</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2021LX065</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临沂市提升城市基层社会治理效能问题研究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赵莉莎</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2021LX066</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数字政府的临沂实践与探索</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王林霞</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2021LX067</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临沂市医养结合发展模式问题研究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王涛</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2021LX068</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社区治理共同体推进市域社会治理现代化路径研究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焦华英</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临沂市委党校高新区分校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2021LX069</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践行“枫桥经验”推进基层社会治理创新研究——以沂水县公安局马站派出所为例</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崔玉晓</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2021LX070</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临沂市市域治理现代化实践路径研究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王春玲</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2021LX071</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党建引领城市基层治理的创新机制研究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郁万青</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2021LX072</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“互联网+社区居家养老模式”的需求现状与分析——以临沂市为例</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公倩</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山东医学高等专科学校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2021LX073</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知识产权保护助推民营经济高质量发展研究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李永格</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2021LX074</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临沂青少年心理健康研究——基于语料库抑郁症话语分析</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黄家峰</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2021LX075</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临沂社会科学文献数据库建设研究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孙彦玲</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2021LX076</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基于“时间银行”的互助养老模式实践路径探究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赵琦</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临沂职业学院</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2021LX077</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兰山区推进市域社会治理现代化的实践路径研究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董业东</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兰山区委党校</w:t>
            </w:r>
          </w:p>
        </w:tc>
        <w:tc>
          <w:tcPr>
            <w:tcW w:w="121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2021LX078</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老年教育事业应对人口老龄化新形势策略研究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邢洪英</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兰山区委党校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2021LX079</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医养结合背景下养老护理人员队伍建设</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李文元</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山东医学高等专科学校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2021LX080</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打造职业教育高地相关问题研究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聂国胜</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山东医学高等专科学校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2021LX081</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践行“两山”理论 深化水资源税改革研究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吴晓</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临沂市财政局</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2021LX082</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发展多式联运，打造一带一路“东方商都”和“国际商贸物流枢纽”路径研究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刘乃增</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市交通运输局</w:t>
            </w:r>
          </w:p>
        </w:tc>
        <w:tc>
          <w:tcPr>
            <w:tcW w:w="121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2021LX083</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建设投资项目管理不平衡报价问题研究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齐敬春</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2021LX084</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现代财政管理制度助推市域社会治理路径研究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魏伟</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临沂市财政局</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2021LX085</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民营经济高质量发展三年行动相关问题研究——财金融合支持临沂民营经济发展实证研究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马金国</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临沂市财政局</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2021LX086</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PPP模式中融资风险管理对策研究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黄伟</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临沂市财政局</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2021LX087</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新阶段临沂市财源建设问题研究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孙超</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临沂市财政局</w:t>
            </w:r>
          </w:p>
        </w:tc>
        <w:tc>
          <w:tcPr>
            <w:tcW w:w="121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2021LX088</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审计工作助力临沂高质量发展研究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周东开</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临沂市审计局</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2021LX089</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临沂商城在新阶段实现新发展的路径研究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乔继刚</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临沂商城党工委</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2021LX090</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沂水县推动传统产业转型升级助力民营经济高质量发展有关问题研究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白莲</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沂水县中小企业发展服务中心</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2021LX091</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关于整合经开区、综保区等各功能区更好融入“双循环”，促进高质量发展的（建设沂河新区）调研</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李涛</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市政府研究室</w:t>
            </w:r>
          </w:p>
        </w:tc>
        <w:tc>
          <w:tcPr>
            <w:tcW w:w="121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2021LX092</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关于持续优化营商环境释放改革红利的研究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王之焕</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市政府研究室</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2021LX093</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临沂市承接产业转移问题研究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石静</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2021LX094</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“双循环”格局下的临沂市发展跨境电商产业的路径研究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宋佳栋</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临沂市委党校</w:t>
            </w:r>
          </w:p>
        </w:tc>
        <w:tc>
          <w:tcPr>
            <w:tcW w:w="121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2021LX095</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临沂在鲁南经济圈勇当排头兵实践路径研究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黄秀海</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2021LX096</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后疫情时期临沂会展业面临的困境及措施建议</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杨博</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2021LX097</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产业融合视角下信息化与物流产业深度融合发展研究——以临沂市为例</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李媛媛</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临沂大学沂水校区</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2021LX098</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数字经济背景下临沂高校跨境电商人才培养模式探究——以青岛理工大学（临沂）为例</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张孝静</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青岛理工大学（临沂）</w:t>
            </w:r>
          </w:p>
        </w:tc>
        <w:tc>
          <w:tcPr>
            <w:tcW w:w="121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2021LX099</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“十四五”规划背景下，数字技术+平台经济助力临沂市建筑产业转型升级研究与实践</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石芳</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临沂职业学院</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2021LX100</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推进多式联运标准化进程，助力临沂成就东方商都研究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徐浩</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临沂职业学院</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2021LX101</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推动临沂市乡村旅游高质量发展研究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周闻鹏</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市文旅局</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2021LX102</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深化基层乡村振兴战略审计研究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张春艳</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郯城县审计局</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2021LX103</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关于在国家金改试验区创设乡村振兴普惠银行的构想</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陈宜民</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临沂市金融学会</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2021LX104</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乡村振兴背景下我市退役军人村干部队伍建设研究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蒋宗法</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临沂市退役军人事务局</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2021LX105</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全面推进乡村振兴视域下推进农村基层党组织振兴研究——以临沂市河东区为例</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王瑞</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河东区委党校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2021LX106</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临沂市以农村党组织书记专业化管理推进乡村组织振兴的经验与启示</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李荣田</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2021LX107</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新发展格局背景下脱贫攻坚与乡村振兴有效衔接的路径研究——习近平脱贫攻坚理论在临沂市扶贫工作中的实践与探索</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张翠芹</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2021LX108</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国家级普惠金融服务乡村振兴改革试验区建设扶持政策研究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韩来轩</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临沂市财政局</w:t>
            </w:r>
          </w:p>
        </w:tc>
        <w:tc>
          <w:tcPr>
            <w:tcW w:w="121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2021LX109</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实行乡村振兴战略下的中华蜜蜂生态养殖产业发展模式研究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庄茹菲</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临沂科技职业学院</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2021LX110</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临沂市农业社会化服务影响农业TFP的区域差异研究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禚彦辰</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莒南县板泉镇人民政府</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2021LX111</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临沂市河东区康养旅游产业发展问题研究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付坤</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河东区委党校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2021LX112</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助力临沂市打造长三角中心城市农产品供应基地路径探索——以临沂国家农业科园区为例</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华贝贝</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河东区委党校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2021LX113</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我市创造性落实《关于新时代支持革命老区振兴发展意见》的研究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孙诚秀</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市政府研究室</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2021LX114</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推动国家级普惠金融服务乡村振兴改革试验区建设助力乡村振兴的研究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高存华</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市政府研究室</w:t>
            </w:r>
          </w:p>
        </w:tc>
        <w:tc>
          <w:tcPr>
            <w:tcW w:w="121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2021LX115</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乡村振兴背景下临沂市乡村旅游发展问题研究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刘霞</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2021LX116</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乡村振兴下镇域特色产业发展研究——平邑县地方镇罐头产业发展的经验和思考</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左守兵</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平邑县委党校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2021LX117</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乡村振兴下临沂市研学旅游业态发展研究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韩洪凌</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2021LX118</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普惠金融促进临沂乡村振兴的路径研究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赵娟</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2021LX119</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临沂普惠金融服务乡村振兴的投融资机制研究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李贞彩</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2021LX120</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乡村振兴背景下临沂县域电子商务发展策略研究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刘慧</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2021LX121</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临沂市乡村振兴中的网红经济发展路径研究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陈洁</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2021LX122</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数字普惠金融助力临沂市乡村振兴对策研究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宋满满</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临沂职业学院</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2021LX123</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乡村振兴背景下临沂市农业信贷机制与绩效研究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凌思璇</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临沂职业学院</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2021LX124</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新时代背景下普惠金融助力乡村振兴改革的问题研究——以临沂市为例</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孙建梅</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临沂职业学院</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2021LX125</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沂蒙革命老区推进乡镇（街道）社会工作站建设 助力乡村振兴研究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徐骋</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临沂市民政局</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2021LX126</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着力打造鲁南经济圈乡村振兴先行区的实践与思考——以兰陵县积极打造全市乡村振兴先行区为例</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王晓波</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兰陵县委党校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2021LX127</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政务新媒体服务临沂乡村振兴的路径研究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朱飞</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临沂市农业农村局</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2021LX128</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乡村振兴视角下乡镇残疾人帮扶机制完善研究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何泰然</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沂水县黄山铺镇委</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2021LX129</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农村居民收入构成的演变及对消费支出影响效应研究：以山东省临沂市为例</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张英杰</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2021LX130</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临沂市农村医养结合养老方式现状调查及对策研究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王振超</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临沂大学沂水校区</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2021LX131</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乡村振兴背景下的，农村基层干部素质提升研究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刘本福</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临沂职业学院</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2021LX132</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新时代临沂乡村文化振兴问题研究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罗秀娟</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临沂市委党校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2021LX133</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沂蒙民俗文化的传承与产业化发展研究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王昌民</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临沂大学费县校区</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2021LX134</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基于“微旅游”的临沂传统村落文化传承路径研究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赵红芳</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2021LX135</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打造乡村振兴“齐鲁样板”的“沂蒙高地”——鲁东南地区“沂蒙民居”新范式研究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邓培进</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临沂职业学院</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2021LX136</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临沂市农村基层干部学历提升助力乡村人才振兴路径研究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顾长青</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临沂职业学院</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2021LX137</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临沂大学服务乡村学校美育建设</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孙晓悦</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2021LX138</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关于完善乡村人才发展体制机制助推乡村振兴的策略研究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吕振云</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市人社局</w:t>
            </w:r>
          </w:p>
        </w:tc>
        <w:tc>
          <w:tcPr>
            <w:tcW w:w="121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2021LX139</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弘扬红色文化 创新发展红色旅游</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高维武</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沂南县精神文明建设服务中心</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2021LX140</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郯城县红色旅游发展研究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王坤朋</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郯城县委党校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2021LX141</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加快临沂市文化旅游产业融合发展的研究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伏开桥</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临沭县苍马山管委会</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2021LX142</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临沂市红色文化旅游产业发展现状及对策研究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朱璇</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临沂市委党校</w:t>
            </w:r>
          </w:p>
        </w:tc>
        <w:tc>
          <w:tcPr>
            <w:tcW w:w="121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2021LX143</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新时代背景下现代公共文化服务体系建设的临沂实践</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褚洪敏</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临沂市委党校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2021LX144</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地域性文化符号在临沂城市景观设计中表达方式的研究——以孝河文化主题公园为例</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蒋芳</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临沂市园林环卫保障服务中心 </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2021LX145</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提升农家书屋服务效能  百姓共享文化发展成果</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夏季雷</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沂南县图书馆</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2021LX146</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沂蒙红色文化融入特色小镇品牌建设规划研究—以费县薛庄为例</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王丽丽</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费县人力资源和社会保障局</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2021LX147</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文旅融合下县级图书馆县域文旅服务创新探索</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高飞</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临沭县图书馆</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2021LX148</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探索中华优秀传统文化在基层的传承弘扬——以临沭县为例</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薛良羽</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临沭县委宣传部</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2021LX149</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研究两汉沂蒙儒学家的时代价值</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高梅</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2021LX150</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沂蒙民间剪纸艺术在公共艺术中的应用研究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孙珍珍</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2021LX151</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郯城木版年画旅游纪念品设计开发研究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张玲玲</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2021LX152</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临沂市红色旅游景区语言景观调查研究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刘悦淼</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2021LX153</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汉语国际教育中沂蒙文化传播研究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专著</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刘济芳</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2021LX154</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颜延之的家庭教育理论及其对后世的启示</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王春华</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2021LX155</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人工智能视角下驻临高校非物质文化遗产传承路径研究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王永超</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青岛理工大学（临沂）</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2021LX156</w:t>
            </w:r>
          </w:p>
        </w:tc>
        <w:tc>
          <w:tcPr>
            <w:tcW w:w="7530" w:type="dxa"/>
            <w:tcBorders>
              <w:tl2br w:val="nil"/>
              <w:tr2bl w:val="nil"/>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《中共华东中央局在山东》、《中共华东区中央局历史资料汇编》</w:t>
            </w:r>
          </w:p>
        </w:tc>
        <w:tc>
          <w:tcPr>
            <w:tcW w:w="1215" w:type="dxa"/>
            <w:tcBorders>
              <w:tl2br w:val="nil"/>
              <w:tr2bl w:val="nil"/>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专著</w:t>
            </w:r>
          </w:p>
        </w:tc>
        <w:tc>
          <w:tcPr>
            <w:tcW w:w="1065" w:type="dxa"/>
            <w:tcBorders>
              <w:tl2br w:val="nil"/>
              <w:tr2bl w:val="nil"/>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胡晓蕾</w:t>
            </w:r>
          </w:p>
        </w:tc>
        <w:tc>
          <w:tcPr>
            <w:tcW w:w="2760" w:type="dxa"/>
            <w:tcBorders>
              <w:tl2br w:val="nil"/>
              <w:tr2bl w:val="nil"/>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兰山区委党史研究中心</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2021LX157</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让书写在古籍里的文字活起来——古籍移动阅读APP</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李维蹈</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王羲之故居保护中心</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2021LX158</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区域博物馆教育功能在文化传承中作用浅析——以临沂市博物馆“带着家乡的历史上大学”为例</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张俊龙</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临沂市博物馆</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2021LX159</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图书馆个性化服务创新与实践探索，服务职业教育高地建设</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刘清</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临沂市技师学院</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2021LX160</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产教融合背景下卫生职业学校“双师型”教师培养体系研究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杨希</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临沂卫生学校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2021LX161</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小学生党史知识教育的途径研究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李学东</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莒南县第一小学</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2021LX162</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新时代高校文化育人机制的红色基因融入研究——以临沂大学为例</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张建成</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2021LX163</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临沂市幼儿教师领导力现状及影响因素的调查研究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吴庆兴</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临沂大学费县校区</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2021LX164</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基于沂蒙文化长廊浮雕艺术与大学生美育研究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郭旗</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2021LX165</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当代大学生党史教育实施现状及应对策略研究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张明雪</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2021LX166</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中国共产党集体道德记忆融入高校党史教育的路径探究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王晓阳</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临沂大学</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2021LX167</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新时代强化理工类大学生党史学习教育的实效性路径研究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王静</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青岛理工大学（临沂）</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2021LX168</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新时代高校党史学习教育常态化制度化研究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陈丽华</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青岛理工大学（临沂）</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2021LX169</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高职院校“思政课程”与“课程思政”协同育人机制研究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郑佩瑶</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临沂职业学院</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2021LX170</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高职院校设计类专业“三位一体、项目贯穿、竞赛激励”校企协同育人的创新与实践研究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赵学凯</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临沂职业学院</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2021LX171</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抗疫精神融入职业院校思政实践教学探索</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学术论文</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朱永君</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临沂职业学院</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2021LX172</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高职院校线上线下混合式课程建设探究与实践</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刘银连</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临沂职业学院</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2021LX173</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机关党建与业务工作融合途径研究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柳青</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沂南县委党校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2021LX174</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机关党建与业务工作融合途径研究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刘亚男</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河东区委党校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2021LX175</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机关党建与业务工作融合途径研究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邱君帝</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临沂市委党校</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2021LX175</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加强住房保障体系建设研究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王海雁</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临沂市城乡建设服务中心</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2021LX177</w:t>
            </w:r>
          </w:p>
        </w:tc>
        <w:tc>
          <w:tcPr>
            <w:tcW w:w="75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加强住房保障体系建设研究</w:t>
            </w:r>
          </w:p>
        </w:tc>
        <w:tc>
          <w:tcPr>
            <w:tcW w:w="12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研究报告</w:t>
            </w:r>
          </w:p>
        </w:tc>
        <w:tc>
          <w:tcPr>
            <w:tcW w:w="10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丁兆新</w:t>
            </w:r>
          </w:p>
        </w:tc>
        <w:tc>
          <w:tcPr>
            <w:tcW w:w="276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平邑县住房保障中心</w:t>
            </w:r>
          </w:p>
        </w:tc>
        <w:tc>
          <w:tcPr>
            <w:tcW w:w="121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bl>
    <w:p>
      <w:pPr>
        <w:pStyle w:val="2"/>
        <w:keepNext w:val="0"/>
        <w:keepLines w:val="0"/>
        <w:pageBreakBefore w:val="0"/>
        <w:kinsoku/>
        <w:wordWrap/>
        <w:overflowPunct/>
        <w:topLinePunct w:val="0"/>
        <w:autoSpaceDE/>
        <w:autoSpaceDN/>
        <w:bidi w:val="0"/>
        <w:adjustRightInd/>
        <w:snapToGrid/>
        <w:spacing w:line="400" w:lineRule="exact"/>
        <w:jc w:val="center"/>
        <w:rPr>
          <w:rFonts w:hint="eastAsia" w:ascii="黑体" w:hAnsi="Times New Roman" w:eastAsia="黑体" w:cs="Times New Roman"/>
          <w:kern w:val="2"/>
          <w:sz w:val="30"/>
          <w:szCs w:val="30"/>
          <w:lang w:val="en-US" w:eastAsia="zh-CN" w:bidi="ar-SA"/>
        </w:rPr>
      </w:pPr>
      <w:r>
        <w:rPr>
          <w:rFonts w:hint="eastAsia" w:ascii="黑体" w:hAnsi="Times New Roman" w:eastAsia="黑体" w:cs="Times New Roman"/>
          <w:kern w:val="2"/>
          <w:sz w:val="30"/>
          <w:szCs w:val="30"/>
          <w:lang w:val="en-US" w:eastAsia="zh-CN" w:bidi="ar-SA"/>
        </w:rPr>
        <w:t>沂蒙精神研究专项</w:t>
      </w:r>
    </w:p>
    <w:tbl>
      <w:tblPr>
        <w:tblStyle w:val="6"/>
        <w:tblW w:w="15120" w:type="dxa"/>
        <w:tblInd w:w="-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2"/>
        <w:gridCol w:w="7545"/>
        <w:gridCol w:w="1230"/>
        <w:gridCol w:w="1035"/>
        <w:gridCol w:w="2745"/>
        <w:gridCol w:w="1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32"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黑体" w:eastAsia="黑体"/>
                <w:lang w:eastAsia="zh-CN"/>
              </w:rPr>
              <w:t>立项编号</w:t>
            </w:r>
          </w:p>
        </w:tc>
        <w:tc>
          <w:tcPr>
            <w:tcW w:w="754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黑体" w:eastAsia="黑体"/>
              </w:rPr>
              <w:t>课 题 名 称</w:t>
            </w:r>
          </w:p>
        </w:tc>
        <w:tc>
          <w:tcPr>
            <w:tcW w:w="12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黑体" w:eastAsia="黑体"/>
              </w:rPr>
              <w:t>预期成果</w:t>
            </w:r>
          </w:p>
        </w:tc>
        <w:tc>
          <w:tcPr>
            <w:tcW w:w="103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黑体" w:eastAsia="黑体"/>
              </w:rPr>
              <w:t>申报人</w:t>
            </w:r>
          </w:p>
        </w:tc>
        <w:tc>
          <w:tcPr>
            <w:tcW w:w="274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黑体" w:eastAsia="黑体"/>
                <w:lang w:eastAsia="zh-CN"/>
              </w:rPr>
              <w:t>所在</w:t>
            </w:r>
            <w:r>
              <w:rPr>
                <w:rFonts w:hint="eastAsia" w:ascii="黑体" w:eastAsia="黑体"/>
              </w:rPr>
              <w:t>单位</w:t>
            </w:r>
          </w:p>
        </w:tc>
        <w:tc>
          <w:tcPr>
            <w:tcW w:w="123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r>
              <w:rPr>
                <w:rFonts w:hint="eastAsia" w:ascii="黑体" w:eastAsia="黑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2021LX178</w:t>
            </w:r>
          </w:p>
        </w:tc>
        <w:tc>
          <w:tcPr>
            <w:tcW w:w="75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沂蒙精神与党的精神谱系研究</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学术论文</w:t>
            </w:r>
          </w:p>
        </w:tc>
        <w:tc>
          <w:tcPr>
            <w:tcW w:w="10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王立云</w:t>
            </w:r>
          </w:p>
        </w:tc>
        <w:tc>
          <w:tcPr>
            <w:tcW w:w="27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临沂市公路事业发展中心</w:t>
            </w:r>
          </w:p>
        </w:tc>
        <w:tc>
          <w:tcPr>
            <w:tcW w:w="123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2021LX179</w:t>
            </w:r>
          </w:p>
        </w:tc>
        <w:tc>
          <w:tcPr>
            <w:tcW w:w="75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临沂市第一书记工作对大力弘扬践行沂蒙精神的启示</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孙孝建</w:t>
            </w:r>
          </w:p>
        </w:tc>
        <w:tc>
          <w:tcPr>
            <w:tcW w:w="27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市第一书记工作办公室</w:t>
            </w:r>
          </w:p>
        </w:tc>
        <w:tc>
          <w:tcPr>
            <w:tcW w:w="123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2021LX180</w:t>
            </w:r>
          </w:p>
        </w:tc>
        <w:tc>
          <w:tcPr>
            <w:tcW w:w="75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沂蒙红嫂形成的时代和历史文化因素探微</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学术论文</w:t>
            </w:r>
          </w:p>
        </w:tc>
        <w:tc>
          <w:tcPr>
            <w:tcW w:w="10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孟凡晓</w:t>
            </w:r>
          </w:p>
        </w:tc>
        <w:tc>
          <w:tcPr>
            <w:tcW w:w="27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市委宣传部</w:t>
            </w:r>
          </w:p>
        </w:tc>
        <w:tc>
          <w:tcPr>
            <w:tcW w:w="123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2021LX181</w:t>
            </w:r>
          </w:p>
        </w:tc>
        <w:tc>
          <w:tcPr>
            <w:tcW w:w="75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沂蒙红色教育研学研究</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郑宏波</w:t>
            </w:r>
          </w:p>
        </w:tc>
        <w:tc>
          <w:tcPr>
            <w:tcW w:w="27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费县实验中学</w:t>
            </w:r>
          </w:p>
        </w:tc>
        <w:tc>
          <w:tcPr>
            <w:tcW w:w="123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2021LX182</w:t>
            </w:r>
          </w:p>
        </w:tc>
        <w:tc>
          <w:tcPr>
            <w:tcW w:w="75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沂蒙精神融入未成年人思政教育的路径研究</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杨苓芳</w:t>
            </w:r>
          </w:p>
        </w:tc>
        <w:tc>
          <w:tcPr>
            <w:tcW w:w="27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莒南县第四小学</w:t>
            </w:r>
          </w:p>
        </w:tc>
        <w:tc>
          <w:tcPr>
            <w:tcW w:w="123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2021LX183</w:t>
            </w:r>
          </w:p>
        </w:tc>
        <w:tc>
          <w:tcPr>
            <w:tcW w:w="75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“沂蒙精神”教育研究</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李萍萍</w:t>
            </w:r>
          </w:p>
        </w:tc>
        <w:tc>
          <w:tcPr>
            <w:tcW w:w="27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沂水县第二中学</w:t>
            </w:r>
          </w:p>
        </w:tc>
        <w:tc>
          <w:tcPr>
            <w:tcW w:w="123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2021LX184</w:t>
            </w:r>
          </w:p>
        </w:tc>
        <w:tc>
          <w:tcPr>
            <w:tcW w:w="75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新时代传承弘扬沂蒙精神研究</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王娟</w:t>
            </w:r>
          </w:p>
        </w:tc>
        <w:tc>
          <w:tcPr>
            <w:tcW w:w="27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河东区委党校</w:t>
            </w:r>
          </w:p>
        </w:tc>
        <w:tc>
          <w:tcPr>
            <w:tcW w:w="123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2021LX185</w:t>
            </w:r>
          </w:p>
        </w:tc>
        <w:tc>
          <w:tcPr>
            <w:tcW w:w="75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新时代开展“红色研学”传承弘扬沂蒙精神研究</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孟黎</w:t>
            </w:r>
          </w:p>
        </w:tc>
        <w:tc>
          <w:tcPr>
            <w:tcW w:w="27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临沂第四中学</w:t>
            </w:r>
          </w:p>
        </w:tc>
        <w:tc>
          <w:tcPr>
            <w:tcW w:w="123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2021LX186</w:t>
            </w:r>
          </w:p>
        </w:tc>
        <w:tc>
          <w:tcPr>
            <w:tcW w:w="75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弘扬沂蒙精神 构建新时代党群“命运共同体”</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学术论文</w:t>
            </w:r>
          </w:p>
        </w:tc>
        <w:tc>
          <w:tcPr>
            <w:tcW w:w="10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王芸飞</w:t>
            </w:r>
          </w:p>
        </w:tc>
        <w:tc>
          <w:tcPr>
            <w:tcW w:w="27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临沂市委党校</w:t>
            </w:r>
          </w:p>
        </w:tc>
        <w:tc>
          <w:tcPr>
            <w:tcW w:w="123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2021LX187</w:t>
            </w:r>
          </w:p>
        </w:tc>
        <w:tc>
          <w:tcPr>
            <w:tcW w:w="75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在党史学习教育中弘扬沂蒙精神研究</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赵敏</w:t>
            </w:r>
          </w:p>
        </w:tc>
        <w:tc>
          <w:tcPr>
            <w:tcW w:w="27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临沂市委党校</w:t>
            </w:r>
          </w:p>
        </w:tc>
        <w:tc>
          <w:tcPr>
            <w:tcW w:w="123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2021LX188</w:t>
            </w:r>
          </w:p>
        </w:tc>
        <w:tc>
          <w:tcPr>
            <w:tcW w:w="75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在乡村振兴中发挥沂蒙六姐妹精神的时代价值研究</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李燕</w:t>
            </w:r>
          </w:p>
        </w:tc>
        <w:tc>
          <w:tcPr>
            <w:tcW w:w="27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临沂市委党校</w:t>
            </w:r>
          </w:p>
        </w:tc>
        <w:tc>
          <w:tcPr>
            <w:tcW w:w="123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2021LX189</w:t>
            </w:r>
          </w:p>
        </w:tc>
        <w:tc>
          <w:tcPr>
            <w:tcW w:w="75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《沂蒙山小调》在沂蒙红色音乐文化中的发展</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彭善霞</w:t>
            </w:r>
          </w:p>
        </w:tc>
        <w:tc>
          <w:tcPr>
            <w:tcW w:w="27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3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2021LX190</w:t>
            </w:r>
          </w:p>
        </w:tc>
        <w:tc>
          <w:tcPr>
            <w:tcW w:w="75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体育文化在沂蒙精神形成与传承中的价值研究</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杜志娟</w:t>
            </w:r>
          </w:p>
        </w:tc>
        <w:tc>
          <w:tcPr>
            <w:tcW w:w="27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3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2021LX191</w:t>
            </w:r>
          </w:p>
        </w:tc>
        <w:tc>
          <w:tcPr>
            <w:tcW w:w="75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沂蒙文学“红嫂”书写与沂蒙精神研究</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宋桂花</w:t>
            </w:r>
          </w:p>
        </w:tc>
        <w:tc>
          <w:tcPr>
            <w:tcW w:w="27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3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资助课题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2021LX192</w:t>
            </w:r>
          </w:p>
        </w:tc>
        <w:tc>
          <w:tcPr>
            <w:tcW w:w="75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以沂蒙精神培育新时代大学生文化自信研究</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孟宪华</w:t>
            </w:r>
          </w:p>
        </w:tc>
        <w:tc>
          <w:tcPr>
            <w:tcW w:w="27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临沂大学费县校区</w:t>
            </w:r>
          </w:p>
        </w:tc>
        <w:tc>
          <w:tcPr>
            <w:tcW w:w="123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2021LX193</w:t>
            </w:r>
          </w:p>
        </w:tc>
        <w:tc>
          <w:tcPr>
            <w:tcW w:w="75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沂蒙红色文化视域下的幼儿园校本课程开发研究</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徐勤娜</w:t>
            </w:r>
          </w:p>
        </w:tc>
        <w:tc>
          <w:tcPr>
            <w:tcW w:w="27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临沂大学费县校区</w:t>
            </w:r>
          </w:p>
        </w:tc>
        <w:tc>
          <w:tcPr>
            <w:tcW w:w="123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2021LX194</w:t>
            </w:r>
          </w:p>
        </w:tc>
        <w:tc>
          <w:tcPr>
            <w:tcW w:w="75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融媒体时代沂蒙精神的全媒体传播研究</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王增芳</w:t>
            </w:r>
          </w:p>
        </w:tc>
        <w:tc>
          <w:tcPr>
            <w:tcW w:w="27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3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2021LX195</w:t>
            </w:r>
          </w:p>
        </w:tc>
        <w:tc>
          <w:tcPr>
            <w:tcW w:w="75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短视频社交媒体在高校沂蒙红色文化教育中的应用策略研究——以临沂大学为例</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张年年</w:t>
            </w:r>
          </w:p>
        </w:tc>
        <w:tc>
          <w:tcPr>
            <w:tcW w:w="27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3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2021LX196</w:t>
            </w:r>
          </w:p>
        </w:tc>
        <w:tc>
          <w:tcPr>
            <w:tcW w:w="75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沂蒙红色档案数字化建设研究</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周娜</w:t>
            </w:r>
          </w:p>
        </w:tc>
        <w:tc>
          <w:tcPr>
            <w:tcW w:w="27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3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2021LX197</w:t>
            </w:r>
          </w:p>
        </w:tc>
        <w:tc>
          <w:tcPr>
            <w:tcW w:w="75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论沂蒙精神与高校思政课的内在契合性及其有机结合</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王淑彩</w:t>
            </w:r>
          </w:p>
        </w:tc>
        <w:tc>
          <w:tcPr>
            <w:tcW w:w="27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临沂大学</w:t>
            </w:r>
          </w:p>
        </w:tc>
        <w:tc>
          <w:tcPr>
            <w:tcW w:w="123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2021LX198</w:t>
            </w:r>
          </w:p>
        </w:tc>
        <w:tc>
          <w:tcPr>
            <w:tcW w:w="75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沂蒙红色文化在驻临高校思政教育中的价值实现路径</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研究报告学术论文</w:t>
            </w:r>
          </w:p>
        </w:tc>
        <w:tc>
          <w:tcPr>
            <w:tcW w:w="10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何晓晴</w:t>
            </w:r>
          </w:p>
        </w:tc>
        <w:tc>
          <w:tcPr>
            <w:tcW w:w="27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青岛理工大学（临沂）</w:t>
            </w:r>
          </w:p>
        </w:tc>
        <w:tc>
          <w:tcPr>
            <w:tcW w:w="123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eastAsia="黑体"/>
                <w:kern w:val="2"/>
                <w:sz w:val="21"/>
                <w:szCs w:val="24"/>
                <w:lang w:val="en-US" w:eastAsia="zh-CN" w:bidi="ar-SA"/>
              </w:rPr>
            </w:pPr>
            <w:r>
              <w:rPr>
                <w:rFonts w:hint="eastAsia" w:ascii="宋体" w:hAnsi="宋体" w:eastAsia="宋体" w:cs="宋体"/>
                <w:i w:val="0"/>
                <w:color w:val="000000"/>
                <w:kern w:val="0"/>
                <w:sz w:val="22"/>
                <w:szCs w:val="22"/>
                <w:u w:val="none"/>
                <w:lang w:val="en-US" w:eastAsia="zh-CN" w:bidi="ar"/>
              </w:rPr>
              <w:t>2021LX199</w:t>
            </w:r>
          </w:p>
        </w:tc>
        <w:tc>
          <w:tcPr>
            <w:tcW w:w="75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新时代沂蒙红色精神文化在“政、产、学、研”融合发展视域下的传承与推广路径</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研究报告学术论文</w:t>
            </w:r>
          </w:p>
        </w:tc>
        <w:tc>
          <w:tcPr>
            <w:tcW w:w="10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李建霖</w:t>
            </w:r>
          </w:p>
        </w:tc>
        <w:tc>
          <w:tcPr>
            <w:tcW w:w="27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临沂职业学院</w:t>
            </w:r>
          </w:p>
        </w:tc>
        <w:tc>
          <w:tcPr>
            <w:tcW w:w="123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33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黑体" w:eastAsia="黑体"/>
                <w:lang w:val="en-US" w:eastAsia="zh-CN"/>
              </w:rPr>
            </w:pPr>
            <w:r>
              <w:rPr>
                <w:rFonts w:hint="eastAsia" w:ascii="黑体" w:eastAsia="黑体"/>
                <w:lang w:val="en-US" w:eastAsia="zh-CN"/>
              </w:rPr>
              <w:t>2021LX200</w:t>
            </w:r>
          </w:p>
        </w:tc>
        <w:tc>
          <w:tcPr>
            <w:tcW w:w="75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新时代传承弘扬沂蒙精神路径探析——以临沂职业学院为例</w:t>
            </w:r>
          </w:p>
        </w:tc>
        <w:tc>
          <w:tcPr>
            <w:tcW w:w="123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研究报告</w:t>
            </w:r>
          </w:p>
        </w:tc>
        <w:tc>
          <w:tcPr>
            <w:tcW w:w="103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牛思群</w:t>
            </w:r>
          </w:p>
        </w:tc>
        <w:tc>
          <w:tcPr>
            <w:tcW w:w="274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eastAsia="黑体"/>
              </w:rPr>
            </w:pPr>
            <w:r>
              <w:rPr>
                <w:rFonts w:hint="eastAsia" w:ascii="宋体" w:hAnsi="宋体" w:eastAsia="宋体" w:cs="宋体"/>
                <w:i w:val="0"/>
                <w:color w:val="000000"/>
                <w:kern w:val="0"/>
                <w:sz w:val="22"/>
                <w:szCs w:val="22"/>
                <w:u w:val="none"/>
                <w:lang w:val="en-US" w:eastAsia="zh-CN" w:bidi="ar"/>
              </w:rPr>
              <w:t>临沂职业学院</w:t>
            </w:r>
          </w:p>
        </w:tc>
        <w:tc>
          <w:tcPr>
            <w:tcW w:w="123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黑体" w:eastAsia="黑体"/>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ESI黑体-GB2312">
    <w:altName w:val="黑体"/>
    <w:panose1 w:val="02000500000000000000"/>
    <w:charset w:val="86"/>
    <w:family w:val="auto"/>
    <w:pitch w:val="default"/>
    <w:sig w:usb0="00000000" w:usb1="00000000" w:usb2="00000012" w:usb3="00000000" w:csb0="0004000F" w:csb1="00000000"/>
  </w:font>
  <w:font w:name="CESI小标宋-GB2312">
    <w:altName w:val="宋体"/>
    <w:panose1 w:val="02000500000000000000"/>
    <w:charset w:val="86"/>
    <w:family w:val="auto"/>
    <w:pitch w:val="default"/>
    <w:sig w:usb0="00000000" w:usb1="00000000" w:usb2="00000010"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5C3402"/>
    <w:rsid w:val="2B5C34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spacing w:line="560" w:lineRule="exact"/>
      <w:ind w:firstLine="420"/>
    </w:pPr>
    <w:rPr>
      <w:rFonts w:hint="eastAsia" w:hAnsi="Calibri" w:eastAsia="宋体" w:cs="Times New Roman"/>
      <w:szCs w:val="21"/>
    </w:rPr>
  </w:style>
  <w:style w:type="paragraph" w:styleId="3">
    <w:name w:val="Body Text Indent"/>
    <w:basedOn w:val="1"/>
    <w:qFormat/>
    <w:uiPriority w:val="0"/>
    <w:pPr>
      <w:ind w:firstLine="640" w:firstLineChars="200"/>
    </w:pPr>
    <w:rPr>
      <w:rFonts w:ascii="仿宋_GB2312"/>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customStyle="1" w:styleId="9">
    <w:name w:val="font01"/>
    <w:basedOn w:val="7"/>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2021-04-12T01:00:00Z</dcterms:created>
  <dc:creator>Administrator</dc:creator>
  <cp:lastModifiedBy>Administrator</cp:lastModifiedBy>
  <dcterms:modified xsi:type="dcterms:W3CDTF">2021-04-12T01:04:11Z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43B7A704CC4F425D963C1172CE639838</vt:lpwstr>
  </property>
</Properties>
</file>