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val="0"/>
        <w:autoSpaceDN w:val="0"/>
        <w:bidi w:val="0"/>
        <w:adjustRightInd w:val="0"/>
        <w:snapToGrid/>
        <w:spacing w:beforeAutospacing="0" w:afterAutospacing="0" w:line="560" w:lineRule="exact"/>
        <w:ind w:left="0" w:leftChars="0" w:right="0" w:rightChars="0" w:firstLine="0" w:firstLineChars="0"/>
        <w:jc w:val="center"/>
        <w:textAlignment w:val="auto"/>
        <w:outlineLvl w:val="9"/>
        <w:rPr>
          <w:rFonts w:hint="default" w:ascii="Times New Roman" w:hAnsi="Times New Roman" w:eastAsia="文星标宋" w:cs="Times New Roman"/>
          <w:bCs/>
          <w:color w:val="FF0000"/>
          <w:w w:val="55"/>
          <w:kern w:val="0"/>
          <w:sz w:val="122"/>
          <w:szCs w:val="122"/>
          <w:lang w:val="zh-CN" w:eastAsia="zh-CN" w:bidi="ar"/>
        </w:rPr>
      </w:pPr>
    </w:p>
    <w:p>
      <w:pPr>
        <w:keepNext w:val="0"/>
        <w:keepLines w:val="0"/>
        <w:pageBreakBefore w:val="0"/>
        <w:widowControl w:val="0"/>
        <w:suppressLineNumbers w:val="0"/>
        <w:kinsoku/>
        <w:wordWrap/>
        <w:overflowPunct/>
        <w:topLinePunct w:val="0"/>
        <w:autoSpaceDE w:val="0"/>
        <w:autoSpaceDN w:val="0"/>
        <w:bidi w:val="0"/>
        <w:adjustRightInd w:val="0"/>
        <w:snapToGrid/>
        <w:spacing w:beforeAutospacing="0" w:afterAutospacing="0" w:line="560" w:lineRule="exact"/>
        <w:ind w:left="0" w:leftChars="0" w:right="0" w:rightChars="0" w:firstLine="0" w:firstLineChars="0"/>
        <w:jc w:val="center"/>
        <w:textAlignment w:val="auto"/>
        <w:outlineLvl w:val="9"/>
        <w:rPr>
          <w:rFonts w:hint="default" w:ascii="Times New Roman" w:hAnsi="Times New Roman" w:eastAsia="文星标宋" w:cs="Times New Roman"/>
          <w:bCs/>
          <w:color w:val="FF0000"/>
          <w:w w:val="55"/>
          <w:kern w:val="0"/>
          <w:sz w:val="122"/>
          <w:szCs w:val="122"/>
          <w:lang w:val="zh-CN" w:eastAsia="zh-CN" w:bidi="ar"/>
        </w:rPr>
      </w:pPr>
    </w:p>
    <w:p>
      <w:pPr>
        <w:keepNext w:val="0"/>
        <w:keepLines w:val="0"/>
        <w:widowControl w:val="0"/>
        <w:suppressLineNumbers w:val="0"/>
        <w:autoSpaceDE w:val="0"/>
        <w:autoSpaceDN w:val="0"/>
        <w:adjustRightInd w:val="0"/>
        <w:spacing w:before="0" w:beforeAutospacing="0" w:after="0" w:afterAutospacing="0" w:line="1400" w:lineRule="exact"/>
        <w:ind w:left="0" w:right="0"/>
        <w:jc w:val="center"/>
        <w:rPr>
          <w:rFonts w:hint="default" w:ascii="Times New Roman" w:hAnsi="Times New Roman" w:eastAsia="文星标宋" w:cs="Times New Roman"/>
          <w:bCs/>
          <w:color w:val="FF0000"/>
          <w:w w:val="55"/>
          <w:kern w:val="0"/>
          <w:sz w:val="122"/>
          <w:szCs w:val="122"/>
          <w:lang w:val="zh-CN" w:eastAsia="zh-CN"/>
        </w:rPr>
      </w:pPr>
      <w:r>
        <w:rPr>
          <w:rFonts w:hint="default" w:ascii="Times New Roman" w:hAnsi="Times New Roman" w:eastAsia="文星标宋" w:cs="Times New Roman"/>
          <w:bCs/>
          <w:color w:val="FF0000"/>
          <w:w w:val="55"/>
          <w:kern w:val="0"/>
          <w:sz w:val="122"/>
          <w:szCs w:val="122"/>
          <w:lang w:val="zh-CN" w:eastAsia="zh-CN" w:bidi="ar"/>
        </w:rPr>
        <w:t>临沂市社会科学界联合会文件</w:t>
      </w:r>
    </w:p>
    <w:p>
      <w:pPr>
        <w:keepNext w:val="0"/>
        <w:keepLines w:val="0"/>
        <w:widowControl w:val="0"/>
        <w:suppressLineNumbers w:val="0"/>
        <w:autoSpaceDE w:val="0"/>
        <w:autoSpaceDN w:val="0"/>
        <w:adjustRightInd w:val="0"/>
        <w:spacing w:before="0" w:beforeAutospacing="0" w:after="0" w:afterAutospacing="0" w:line="600" w:lineRule="exact"/>
        <w:ind w:left="0" w:right="0"/>
        <w:jc w:val="left"/>
        <w:rPr>
          <w:rFonts w:hint="default" w:ascii="Times New Roman" w:hAnsi="Times New Roman" w:eastAsia="仿宋_GB2312" w:cs="Times New Roman"/>
          <w:b/>
          <w:kern w:val="0"/>
          <w:sz w:val="28"/>
          <w:szCs w:val="28"/>
          <w:lang w:val="zh-CN" w:eastAsia="zh-CN"/>
        </w:rPr>
      </w:pPr>
    </w:p>
    <w:p>
      <w:pPr>
        <w:keepNext w:val="0"/>
        <w:keepLines w:val="0"/>
        <w:widowControl w:val="0"/>
        <w:suppressLineNumbers w:val="0"/>
        <w:autoSpaceDE w:val="0"/>
        <w:autoSpaceDN w:val="0"/>
        <w:adjustRightInd w:val="0"/>
        <w:spacing w:before="0" w:beforeAutospacing="0" w:after="0" w:afterAutospacing="0" w:line="600" w:lineRule="exact"/>
        <w:ind w:left="0" w:right="0"/>
        <w:jc w:val="left"/>
        <w:rPr>
          <w:rFonts w:hint="default" w:ascii="Times New Roman" w:hAnsi="Times New Roman" w:eastAsia="仿宋_GB2312" w:cs="Times New Roman"/>
          <w:b/>
          <w:kern w:val="0"/>
          <w:sz w:val="28"/>
          <w:szCs w:val="28"/>
          <w:lang w:val="zh-CN" w:eastAsia="zh-CN"/>
        </w:rPr>
      </w:pPr>
    </w:p>
    <w:p>
      <w:pPr>
        <w:keepNext w:val="0"/>
        <w:keepLines w:val="0"/>
        <w:widowControl/>
        <w:suppressLineNumbers w:val="0"/>
        <w:spacing w:before="0" w:beforeAutospacing="0" w:after="0" w:afterAutospacing="0"/>
        <w:ind w:left="0" w:right="0"/>
        <w:jc w:val="center"/>
        <w:rPr>
          <w:rFonts w:hint="default" w:ascii="Times New Roman" w:hAnsi="Times New Roman" w:eastAsia="仿宋_GB2312" w:cs="Times New Roman"/>
          <w:color w:val="000000"/>
          <w:kern w:val="0"/>
          <w:sz w:val="32"/>
          <w:szCs w:val="32"/>
          <w:lang w:val="en-US"/>
        </w:rPr>
      </w:pPr>
      <w:r>
        <w:rPr>
          <w:rFonts w:hint="default" w:ascii="Times New Roman" w:hAnsi="Times New Roman" w:eastAsia="仿宋_GB2312" w:cs="Times New Roman"/>
          <w:color w:val="000000"/>
          <w:kern w:val="0"/>
          <w:sz w:val="32"/>
          <w:szCs w:val="32"/>
          <w:lang w:val="en-US" w:eastAsia="zh-CN" w:bidi="ar"/>
        </w:rPr>
        <w:t>临社联字〔2019〕14号</w:t>
      </w:r>
    </w:p>
    <w:p>
      <w:pPr>
        <w:keepNext w:val="0"/>
        <w:keepLines w:val="0"/>
        <w:pageBreakBefore w:val="0"/>
        <w:widowControl w:val="0"/>
        <w:suppressLineNumbers w:val="0"/>
        <w:kinsoku/>
        <w:wordWrap/>
        <w:overflowPunct/>
        <w:topLinePunct w:val="0"/>
        <w:autoSpaceDE w:val="0"/>
        <w:autoSpaceDN w:val="0"/>
        <w:bidi w:val="0"/>
        <w:adjustRightInd w:val="0"/>
        <w:snapToGrid/>
        <w:spacing w:beforeAutospacing="0" w:afterAutospacing="0" w:line="520" w:lineRule="exact"/>
        <w:ind w:left="0" w:leftChars="0" w:right="0" w:rightChars="0" w:firstLine="0" w:firstLineChars="0"/>
        <w:jc w:val="center"/>
        <w:textAlignment w:val="auto"/>
        <w:outlineLvl w:val="9"/>
        <w:rPr>
          <w:rFonts w:hint="default" w:ascii="Times New Roman" w:hAnsi="Times New Roman" w:eastAsia="文星标宋" w:cs="Times New Roman"/>
          <w:bCs/>
          <w:color w:val="000000"/>
          <w:kern w:val="0"/>
          <w:sz w:val="44"/>
          <w:szCs w:val="44"/>
          <w:lang w:val="en-US"/>
        </w:rPr>
      </w:pPr>
      <w:r>
        <w:rPr>
          <w:rFonts w:hint="default" w:ascii="Times New Roman" w:hAnsi="Times New Roman" w:eastAsia="宋体" w:cs="Times New Roman"/>
          <w:kern w:val="2"/>
          <w:sz w:val="21"/>
          <w:szCs w:val="24"/>
          <w:lang w:val="en-US" w:eastAsia="zh-CN" w:bidi="ar"/>
        </w:rPr>
        <w:pict>
          <v:line id="_x0000_s2050" o:spid="_x0000_s2050" o:spt="20" style="position:absolute;left:0pt;margin-left:0.6pt;margin-top:2.55pt;height:0pt;width:441pt;z-index:251659264;mso-width-relative:page;mso-height-relative:page;" filled="f" stroked="t" coordsize="21600,21600">
            <v:path arrowok="t"/>
            <v:fill on="f" focussize="0,0"/>
            <v:stroke weight="1.75pt" color="#FF0000"/>
            <v:imagedata o:title=""/>
            <o:lock v:ext="edit" aspectratio="f"/>
          </v:line>
        </w:pict>
      </w:r>
    </w:p>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宋体" w:cs="Times New Roman"/>
          <w:b/>
          <w:color w:val="000000" w:themeColor="text1"/>
          <w:sz w:val="44"/>
          <w:szCs w:val="44"/>
        </w:rPr>
      </w:pPr>
    </w:p>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文星标宋" w:cs="Times New Roman"/>
          <w:bCs/>
          <w:color w:val="000000" w:themeColor="text1"/>
          <w:kern w:val="0"/>
          <w:sz w:val="44"/>
          <w:szCs w:val="44"/>
        </w:rPr>
      </w:pPr>
      <w:r>
        <w:rPr>
          <w:rFonts w:hint="default" w:ascii="Times New Roman" w:hAnsi="Times New Roman" w:eastAsia="文星标宋" w:cs="Times New Roman"/>
          <w:color w:val="000000" w:themeColor="text1"/>
          <w:sz w:val="44"/>
          <w:szCs w:val="44"/>
        </w:rPr>
        <w:t>关于公布</w:t>
      </w:r>
      <w:r>
        <w:rPr>
          <w:rFonts w:hint="default" w:ascii="Times New Roman" w:hAnsi="Times New Roman" w:eastAsia="文星标宋" w:cs="Times New Roman"/>
          <w:bCs/>
          <w:color w:val="000000" w:themeColor="text1"/>
          <w:kern w:val="0"/>
          <w:sz w:val="44"/>
          <w:szCs w:val="44"/>
        </w:rPr>
        <w:t>2019年度市级社科研究课题立项的</w:t>
      </w:r>
    </w:p>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文星标宋" w:cs="Times New Roman"/>
          <w:bCs/>
          <w:color w:val="000000" w:themeColor="text1"/>
          <w:kern w:val="0"/>
          <w:sz w:val="44"/>
          <w:szCs w:val="44"/>
        </w:rPr>
      </w:pPr>
      <w:r>
        <w:rPr>
          <w:rFonts w:hint="default" w:ascii="Times New Roman" w:hAnsi="Times New Roman" w:eastAsia="文星标宋" w:cs="Times New Roman"/>
          <w:bCs/>
          <w:color w:val="000000" w:themeColor="text1"/>
          <w:kern w:val="0"/>
          <w:sz w:val="44"/>
          <w:szCs w:val="44"/>
        </w:rPr>
        <w:t>通  知</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方正小标宋简体" w:cs="Times New Roman"/>
          <w:bCs/>
          <w:color w:val="000000" w:themeColor="text1"/>
          <w:kern w:val="0"/>
          <w:sz w:val="44"/>
          <w:szCs w:val="44"/>
        </w:rPr>
      </w:pP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bCs/>
          <w:color w:val="000000" w:themeColor="text1"/>
          <w:kern w:val="0"/>
          <w:sz w:val="32"/>
          <w:szCs w:val="32"/>
        </w:rPr>
      </w:pPr>
      <w:r>
        <w:rPr>
          <w:rFonts w:hint="default" w:ascii="Times New Roman" w:hAnsi="Times New Roman" w:eastAsia="仿宋_GB2312" w:cs="Times New Roman"/>
          <w:bCs/>
          <w:color w:val="000000" w:themeColor="text1"/>
          <w:kern w:val="0"/>
          <w:sz w:val="32"/>
          <w:szCs w:val="32"/>
        </w:rPr>
        <w:t>各立项单位、课题负责人：</w:t>
      </w:r>
    </w:p>
    <w:p>
      <w:pPr>
        <w:keepNext w:val="0"/>
        <w:keepLines w:val="0"/>
        <w:pageBreakBefore w:val="0"/>
        <w:widowControl w:val="0"/>
        <w:kinsoku/>
        <w:wordWrap/>
        <w:overflowPunct w:val="0"/>
        <w:topLinePunct w:val="0"/>
        <w:autoSpaceDE/>
        <w:autoSpaceDN/>
        <w:bidi w:val="0"/>
        <w:adjustRightInd/>
        <w:snapToGrid/>
        <w:spacing w:line="600" w:lineRule="exact"/>
        <w:ind w:firstLine="645"/>
        <w:textAlignment w:val="auto"/>
        <w:rPr>
          <w:rFonts w:hint="default" w:ascii="Times New Roman" w:hAnsi="Times New Roman" w:eastAsia="仿宋_GB2312" w:cs="Times New Roman"/>
          <w:bCs/>
          <w:color w:val="000000" w:themeColor="text1"/>
          <w:kern w:val="0"/>
          <w:sz w:val="32"/>
          <w:szCs w:val="32"/>
        </w:rPr>
      </w:pPr>
      <w:r>
        <w:rPr>
          <w:rFonts w:hint="default" w:ascii="Times New Roman" w:hAnsi="Times New Roman" w:eastAsia="仿宋_GB2312" w:cs="Times New Roman"/>
          <w:bCs/>
          <w:color w:val="000000" w:themeColor="text1"/>
          <w:kern w:val="0"/>
          <w:sz w:val="32"/>
          <w:szCs w:val="32"/>
        </w:rPr>
        <w:t>为深入学习贯彻习近平新时代中国特色</w:t>
      </w:r>
      <w:bookmarkStart w:id="2" w:name="_GoBack"/>
      <w:bookmarkEnd w:id="2"/>
      <w:r>
        <w:rPr>
          <w:rFonts w:hint="default" w:ascii="Times New Roman" w:hAnsi="Times New Roman" w:eastAsia="仿宋_GB2312" w:cs="Times New Roman"/>
          <w:bCs/>
          <w:color w:val="000000" w:themeColor="text1"/>
          <w:kern w:val="0"/>
          <w:sz w:val="32"/>
          <w:szCs w:val="32"/>
        </w:rPr>
        <w:t>社会主义思想和党的十九大精神，贯彻落实市委市政府关于新时代深化改革发展重大决策部署，推出更多高水平社科研究成果，促进临沂哲学社会科学繁荣发展，推动大美新临沂建设，市社科联组织开展了2019年度临沂市社科研究课题立项评审工作。在评审工作监督组的全程监督下，经过专家评审、拟立项课题公示、市社科联研究，共确定立项课题429项；其中：资助课题27项，综合类课题314项，“习近平新时代中国特色社会主义思想在临沂的践行”研究专项12项，“沂蒙精神”研究专项103项，现予公布。</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bCs/>
          <w:color w:val="000000" w:themeColor="text1"/>
          <w:kern w:val="0"/>
          <w:sz w:val="32"/>
          <w:szCs w:val="32"/>
        </w:rPr>
      </w:pPr>
      <w:r>
        <w:rPr>
          <w:rFonts w:hint="default" w:ascii="Times New Roman" w:hAnsi="Times New Roman" w:eastAsia="仿宋_GB2312" w:cs="Times New Roman"/>
          <w:bCs/>
          <w:color w:val="000000" w:themeColor="text1"/>
          <w:kern w:val="0"/>
          <w:sz w:val="32"/>
          <w:szCs w:val="32"/>
        </w:rPr>
        <w:t>（此页无正文）</w:t>
      </w:r>
    </w:p>
    <w:p>
      <w:pPr>
        <w:keepNext w:val="0"/>
        <w:keepLines w:val="0"/>
        <w:pageBreakBefore w:val="0"/>
        <w:widowControl w:val="0"/>
        <w:kinsoku/>
        <w:wordWrap/>
        <w:overflowPunct w:val="0"/>
        <w:topLinePunct w:val="0"/>
        <w:autoSpaceDE/>
        <w:autoSpaceDN/>
        <w:bidi w:val="0"/>
        <w:adjustRightInd/>
        <w:snapToGrid/>
        <w:spacing w:line="600" w:lineRule="exact"/>
        <w:ind w:firstLine="645"/>
        <w:textAlignment w:val="auto"/>
        <w:rPr>
          <w:rFonts w:hint="default" w:ascii="Times New Roman" w:hAnsi="Times New Roman" w:eastAsia="仿宋_GB2312" w:cs="Times New Roman"/>
          <w:bCs/>
          <w:color w:val="000000" w:themeColor="text1"/>
          <w:kern w:val="0"/>
          <w:sz w:val="32"/>
          <w:szCs w:val="32"/>
        </w:rPr>
      </w:pPr>
    </w:p>
    <w:p>
      <w:pPr>
        <w:keepNext w:val="0"/>
        <w:keepLines w:val="0"/>
        <w:pageBreakBefore w:val="0"/>
        <w:widowControl w:val="0"/>
        <w:kinsoku/>
        <w:wordWrap/>
        <w:overflowPunct w:val="0"/>
        <w:topLinePunct w:val="0"/>
        <w:autoSpaceDE/>
        <w:autoSpaceDN/>
        <w:bidi w:val="0"/>
        <w:adjustRightInd/>
        <w:snapToGrid/>
        <w:spacing w:line="600" w:lineRule="exact"/>
        <w:ind w:firstLine="645"/>
        <w:textAlignment w:val="auto"/>
        <w:rPr>
          <w:rFonts w:hint="default" w:ascii="Times New Roman" w:hAnsi="Times New Roman" w:eastAsia="仿宋_GB2312" w:cs="Times New Roman"/>
          <w:bCs/>
          <w:color w:val="000000" w:themeColor="text1"/>
          <w:kern w:val="0"/>
          <w:sz w:val="32"/>
          <w:szCs w:val="32"/>
        </w:rPr>
      </w:pPr>
    </w:p>
    <w:p>
      <w:pPr>
        <w:keepNext w:val="0"/>
        <w:keepLines w:val="0"/>
        <w:pageBreakBefore w:val="0"/>
        <w:widowControl w:val="0"/>
        <w:kinsoku/>
        <w:wordWrap/>
        <w:overflowPunct w:val="0"/>
        <w:topLinePunct w:val="0"/>
        <w:autoSpaceDE/>
        <w:autoSpaceDN/>
        <w:bidi w:val="0"/>
        <w:adjustRightInd/>
        <w:snapToGrid/>
        <w:spacing w:line="600" w:lineRule="exact"/>
        <w:ind w:firstLine="645"/>
        <w:textAlignment w:val="auto"/>
        <w:rPr>
          <w:rFonts w:hint="default" w:ascii="Times New Roman" w:hAnsi="Times New Roman" w:eastAsia="仿宋_GB2312" w:cs="Times New Roman"/>
          <w:bCs/>
          <w:color w:val="000000" w:themeColor="text1"/>
          <w:kern w:val="0"/>
          <w:sz w:val="32"/>
          <w:szCs w:val="32"/>
        </w:rPr>
      </w:pPr>
      <w:r>
        <w:rPr>
          <w:rFonts w:hint="default" w:ascii="Times New Roman" w:hAnsi="Times New Roman" w:eastAsia="仿宋_GB2312" w:cs="Times New Roman"/>
          <w:color w:val="000000" w:themeColor="text1"/>
        </w:rPr>
        <w:drawing>
          <wp:anchor distT="0" distB="0" distL="114300" distR="114300" simplePos="0" relativeHeight="251677696" behindDoc="1" locked="0" layoutInCell="1" allowOverlap="1">
            <wp:simplePos x="0" y="0"/>
            <wp:positionH relativeFrom="column">
              <wp:posOffset>2821305</wp:posOffset>
            </wp:positionH>
            <wp:positionV relativeFrom="paragraph">
              <wp:posOffset>1905</wp:posOffset>
            </wp:positionV>
            <wp:extent cx="1542415" cy="1532890"/>
            <wp:effectExtent l="0" t="0" r="635" b="10160"/>
            <wp:wrapNone/>
            <wp:docPr id="1" name="图片 6" descr="CCI20160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CCI20160620"/>
                    <pic:cNvPicPr>
                      <a:picLocks noChangeAspect="1"/>
                    </pic:cNvPicPr>
                  </pic:nvPicPr>
                  <pic:blipFill>
                    <a:blip r:embed="rId6"/>
                    <a:stretch>
                      <a:fillRect/>
                    </a:stretch>
                  </pic:blipFill>
                  <pic:spPr>
                    <a:xfrm>
                      <a:off x="0" y="0"/>
                      <a:ext cx="1542415" cy="1532890"/>
                    </a:xfrm>
                    <a:prstGeom prst="rect">
                      <a:avLst/>
                    </a:prstGeom>
                    <a:noFill/>
                    <a:ln>
                      <a:noFill/>
                    </a:ln>
                  </pic:spPr>
                </pic:pic>
              </a:graphicData>
            </a:graphic>
          </wp:anchor>
        </w:drawing>
      </w:r>
    </w:p>
    <w:p>
      <w:pPr>
        <w:keepNext w:val="0"/>
        <w:keepLines w:val="0"/>
        <w:pageBreakBefore w:val="0"/>
        <w:widowControl w:val="0"/>
        <w:kinsoku/>
        <w:wordWrap/>
        <w:overflowPunct w:val="0"/>
        <w:topLinePunct w:val="0"/>
        <w:autoSpaceDE/>
        <w:autoSpaceDN/>
        <w:bidi w:val="0"/>
        <w:adjustRightInd/>
        <w:snapToGrid/>
        <w:spacing w:line="600" w:lineRule="exact"/>
        <w:ind w:firstLine="3859" w:firstLineChars="1206"/>
        <w:textAlignment w:val="auto"/>
        <w:rPr>
          <w:rFonts w:hint="default" w:ascii="Times New Roman" w:hAnsi="Times New Roman" w:eastAsia="仿宋_GB2312" w:cs="Times New Roman"/>
          <w:color w:val="000000" w:themeColor="text1"/>
          <w:kern w:val="0"/>
          <w:sz w:val="32"/>
          <w:szCs w:val="32"/>
        </w:rPr>
      </w:pPr>
      <w:r>
        <w:rPr>
          <w:rFonts w:hint="default" w:ascii="Times New Roman" w:hAnsi="Times New Roman" w:eastAsia="仿宋_GB2312" w:cs="Times New Roman"/>
          <w:color w:val="000000" w:themeColor="text1"/>
          <w:kern w:val="0"/>
          <w:sz w:val="32"/>
          <w:szCs w:val="32"/>
        </w:rPr>
        <w:t>临沂市社会科学界联合会</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default" w:ascii="Times New Roman" w:hAnsi="Times New Roman" w:eastAsia="仿宋_GB2312" w:cs="Times New Roman"/>
          <w:color w:val="000000" w:themeColor="text1"/>
          <w:kern w:val="0"/>
          <w:sz w:val="32"/>
          <w:szCs w:val="32"/>
        </w:rPr>
      </w:pPr>
      <w:r>
        <w:rPr>
          <w:rFonts w:hint="default" w:ascii="Times New Roman" w:hAnsi="Times New Roman" w:eastAsia="仿宋_GB2312" w:cs="Times New Roman"/>
          <w:color w:val="000000" w:themeColor="text1"/>
          <w:kern w:val="0"/>
          <w:sz w:val="32"/>
          <w:szCs w:val="32"/>
        </w:rPr>
        <w:t xml:space="preserve">                            2019年4月28日</w:t>
      </w:r>
    </w:p>
    <w:p>
      <w:pPr>
        <w:widowControl/>
        <w:spacing w:line="560" w:lineRule="exact"/>
        <w:rPr>
          <w:rFonts w:hint="default" w:ascii="Times New Roman" w:hAnsi="Times New Roman" w:eastAsia="仿宋_GB2312" w:cs="Times New Roman"/>
          <w:color w:val="000000" w:themeColor="text1"/>
          <w:kern w:val="0"/>
          <w:sz w:val="32"/>
          <w:szCs w:val="32"/>
        </w:rPr>
      </w:pPr>
    </w:p>
    <w:p>
      <w:pPr>
        <w:widowControl/>
        <w:spacing w:line="560" w:lineRule="exact"/>
        <w:rPr>
          <w:rFonts w:hint="default" w:ascii="Times New Roman" w:hAnsi="Times New Roman" w:eastAsia="仿宋_GB2312" w:cs="Times New Roman"/>
          <w:color w:val="000000" w:themeColor="text1"/>
          <w:kern w:val="0"/>
          <w:sz w:val="32"/>
          <w:szCs w:val="32"/>
        </w:rPr>
      </w:pPr>
    </w:p>
    <w:p>
      <w:pPr>
        <w:widowControl/>
        <w:spacing w:line="560" w:lineRule="exact"/>
        <w:rPr>
          <w:rFonts w:hint="default" w:ascii="Times New Roman" w:hAnsi="Times New Roman" w:eastAsia="仿宋_GB2312" w:cs="Times New Roman"/>
          <w:color w:val="000000" w:themeColor="text1"/>
          <w:kern w:val="0"/>
          <w:sz w:val="32"/>
          <w:szCs w:val="32"/>
        </w:rPr>
      </w:pPr>
    </w:p>
    <w:p>
      <w:pPr>
        <w:widowControl/>
        <w:spacing w:line="560" w:lineRule="exact"/>
        <w:rPr>
          <w:rFonts w:hint="default" w:ascii="Times New Roman" w:hAnsi="Times New Roman" w:eastAsia="仿宋_GB2312" w:cs="Times New Roman"/>
          <w:color w:val="000000" w:themeColor="text1"/>
          <w:kern w:val="0"/>
          <w:sz w:val="32"/>
          <w:szCs w:val="32"/>
        </w:rPr>
      </w:pPr>
    </w:p>
    <w:p>
      <w:pPr>
        <w:widowControl/>
        <w:spacing w:line="560" w:lineRule="exact"/>
        <w:rPr>
          <w:rFonts w:hint="default" w:ascii="Times New Roman" w:hAnsi="Times New Roman" w:eastAsia="仿宋_GB2312" w:cs="Times New Roman"/>
          <w:color w:val="000000" w:themeColor="text1"/>
          <w:kern w:val="0"/>
          <w:sz w:val="32"/>
          <w:szCs w:val="32"/>
        </w:rPr>
      </w:pPr>
    </w:p>
    <w:p>
      <w:pPr>
        <w:widowControl/>
        <w:spacing w:line="560" w:lineRule="exact"/>
        <w:rPr>
          <w:rFonts w:hint="default" w:ascii="Times New Roman" w:hAnsi="Times New Roman" w:eastAsia="仿宋_GB2312" w:cs="Times New Roman"/>
          <w:color w:val="000000" w:themeColor="text1"/>
          <w:kern w:val="0"/>
          <w:sz w:val="32"/>
          <w:szCs w:val="32"/>
        </w:rPr>
      </w:pPr>
    </w:p>
    <w:p>
      <w:pPr>
        <w:widowControl/>
        <w:spacing w:line="560" w:lineRule="exact"/>
        <w:rPr>
          <w:rFonts w:hint="default" w:ascii="Times New Roman" w:hAnsi="Times New Roman" w:eastAsia="仿宋_GB2312" w:cs="Times New Roman"/>
          <w:color w:val="000000" w:themeColor="text1"/>
          <w:kern w:val="0"/>
          <w:sz w:val="32"/>
          <w:szCs w:val="32"/>
        </w:rPr>
        <w:sectPr>
          <w:footerReference r:id="rId3" w:type="default"/>
          <w:pgSz w:w="11906" w:h="16838"/>
          <w:pgMar w:top="1701" w:right="1531" w:bottom="1417" w:left="1531" w:header="851" w:footer="992" w:gutter="0"/>
          <w:pgNumType w:fmt="numberInDash"/>
          <w:cols w:space="0" w:num="1"/>
          <w:rtlGutter w:val="0"/>
          <w:docGrid w:type="lines" w:linePitch="312" w:charSpace="0"/>
        </w:sectPr>
      </w:pPr>
    </w:p>
    <w:tbl>
      <w:tblPr>
        <w:tblStyle w:val="7"/>
        <w:tblW w:w="157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8559"/>
        <w:gridCol w:w="1017"/>
        <w:gridCol w:w="1140"/>
        <w:gridCol w:w="2298"/>
        <w:gridCol w:w="1205"/>
        <w:gridCol w:w="1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60" w:hRule="atLeast"/>
          <w:jc w:val="center"/>
        </w:trPr>
        <w:tc>
          <w:tcPr>
            <w:tcW w:w="15760" w:type="dxa"/>
            <w:gridSpan w:val="7"/>
            <w:vAlign w:val="center"/>
          </w:tcPr>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黑体" w:cs="Times New Roman"/>
                <w:color w:val="000000" w:themeColor="text1"/>
                <w:kern w:val="0"/>
                <w:sz w:val="32"/>
                <w:szCs w:val="32"/>
              </w:rPr>
            </w:pPr>
            <w:r>
              <w:rPr>
                <w:rFonts w:hint="default" w:ascii="Times New Roman" w:hAnsi="Times New Roman" w:eastAsia="黑体" w:cs="Times New Roman"/>
                <w:color w:val="000000" w:themeColor="text1"/>
                <w:kern w:val="0"/>
                <w:sz w:val="32"/>
                <w:szCs w:val="32"/>
              </w:rPr>
              <w:t>综合类课题（314项）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序号</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黑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课 题 名 称</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黑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预期成果</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黑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申报人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黑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所在单位</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黑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创新养老服务模式推进临沂“大健康”产业发展研究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高存华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市政府研究室</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我市开发区改革和创新发展问题研究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张晓梅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市境外招商促进中心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临沂市国家级服务乡村振兴战略金融改革创新试验区建设路径研究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陈宜民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人民银行市中心支行</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以“四新”促“四化”推动建筑业新旧动能转换加快实现我市建筑业高质量发展-以装配式建筑为例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袁</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青</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我市建设区域性进口商品分拨中心研究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赵凯毅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山东交通技师学院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临沂市优化营商环境助推新旧动能转换研究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董业东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关于打造千万吨不锈钢产业基地的研究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许丁元</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市政府研究室</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9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关于着力打造全省领先、全国一流营商环境的调研报告</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市政府研究室</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2019LX009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关于建设京沪高铁二线中段特大中心城市的研究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杜宇功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市政府研究室</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海洋强省战略下日照与临沂商贸物流城统筹发展研究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孟凡蕾</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“一城引领”全市经济社会高质量发展的机理研究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王倩怡</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新旧动能转换背景下临沂市经济运行监测模型的构建与评价</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张宗良</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我市强力推进新旧动能转换加快实现高质量发展研究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黄秀海</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弘扬沂蒙精神打造乡村振兴齐鲁样板的沂蒙高地研究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解</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磊</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我市当前“扫黑除恶”存在的突出问题及对策建议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孙维雁</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临沂市开发区体制机制创新问题研究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王春玲</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发挥商城“一城引领”作用创建中国物流科技城研究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庄</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妍</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临沂商城党政办公室</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0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基于临沂港路径探析的临沂国际陆港发展研究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玲</w:t>
            </w:r>
          </w:p>
          <w:p>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kern w:val="0"/>
                <w:sz w:val="15"/>
                <w:szCs w:val="15"/>
              </w:rPr>
            </w:pPr>
            <w:r>
              <w:rPr>
                <w:rFonts w:hint="default" w:ascii="Times New Roman" w:hAnsi="Times New Roman" w:eastAsia="宋体" w:cs="Times New Roman"/>
                <w:color w:val="000000" w:themeColor="text1"/>
                <w:kern w:val="0"/>
                <w:sz w:val="20"/>
                <w:szCs w:val="21"/>
              </w:rPr>
              <w:t>柏</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临沂商城管委会</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0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2019LX019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基于精益管理思想的临沂现代物流发展研究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刘西坤</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基于品牌营销的临沂市乡村旅游发展策略研究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宋连亮</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9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新旧动能转换背景下装配式建筑发展的制约因素及对策研究—以临沂地区为例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王友国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临沂市加快建筑业新旧动能转换实现高质量发展研究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温晓慧</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6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新农村建设与乡村旅游的互动发展研究以山东罗庄区傅庄街道办事处西三重村为例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源</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临沂市实体经济融资难融资贵问题的探析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武兰玉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临沂市中小企业融资困境的破解路径选择—借力政府财政信用，振兴实体经济</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赵之佐</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多语种电子商务平台助推临沂市跨境电商发展的策略研究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袁静静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临沂智慧仓储的发展对策研究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兰山区破解实体经济融资难融资贵问题研究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凤</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2019LX029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乡村振兴战略下临沂市乡村体育旅游发展的研究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杜志娟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普惠金融背景下破解小微企业融资难融资贵问题研究——以临沂市为例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孙建梅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3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沂南黄瓜品牌价值挖掘及提升对策研究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周绪元</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临沂市农业科学院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关于推动临沂市农村土地流转发展适度规模经营的研究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樊青峰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临沂市农业科学院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4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临沂市西甜瓜品牌建设途径</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冷</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临沂市农业科学院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推动家庭农场适度规模经营--加速临沂市蔬菜产业新旧动能转换</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林</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临沂市农业科学院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粮改饲政策实施过程中存在问题及对策研究-以沂南县为例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吴荣华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临沂市农业科学院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我市当前乡村旅游发展面临问题分析及对策建议——以沂南县为例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山东交通技师学院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农产品包装助力“产自临沂”品牌建设策略研究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卜晓婧</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省农广校临沂分校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3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沂水县当前乡村旅游发展面临问题分析及对策建议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李成臻</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沂水县委党校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2019LX039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全域旅游视角下临沂市乡村旅游发展探讨</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张玉兰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乡村振兴战略背景下的田园综合体发展研究------以临沂市为例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赵东龙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5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临沂物流现状及智慧物流发展研究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王善坤</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临沂市高级财经学校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县域内农业产业化联合体发展研究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月</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罗庄区农业农村局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5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乡村振兴战略背景下沂南乡村旅游整合的障碍及策略研究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孙玉清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沂南县铜井镇政府</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基于智慧物流的临沂现代物流转型升级研究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赵国英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6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临沂市当前乡村旅游发展面临问题分析及对策建议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黄坤艳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平邑县金银花产业发展路径研究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孟庆银</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新旧动能转换下的县域经济发展——以兰陵县为例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宋佳栋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兰陵县委党校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我市当前乡村旅游发展面临问题分析及对策建议——兰陵县为例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陈玉娟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兰陵县委党校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2019LX049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谈乡村旅游模式发展创新——以兰陵县乡村旅游发展实践为例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潘云翔</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兰陵县委党校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乡村振兴战略背景下党支部领创办合作社的实践与思考——以兰陵县为例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王晓波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兰陵县委党校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乡村振兴背景下临沂市乡村旅游的制度性供给研究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蒋兴茂</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破解实体经济融资难融资贵难题的路径研究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闫景民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人民银行市中心支行</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我市破解实体经济融资难融资贵问题研究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赵修芳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供给侧改革背景下临沂市乡村旅游发展路径研究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李献国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4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临沂市水库型水利风景区旅游开发利用研究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李学芝</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临沂市破解民营企业融资难问题研究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李艳芬</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乡村振兴战略下临沂市农村休闲体育旅游多元化发展模式研究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蔺跃同</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高校图书馆服务新旧动能转换研究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2019LX059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“一带一路”政策下临沂保税区国际物流发展研究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慧</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打造区域品牌，助力农业供给侧结构性改革</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刘文菊</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临沂市出口跨境电商企业发展现状、存在问题及对策</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朱晓丽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临沂高铁对城市周边地区发展的预测与研究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刘忠秀</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大数据背景下临沂市小微物流企业融资困境研究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孟庆财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基于供应链管理的临沂市国际商贸物流优化对策研究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凯</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临沂乡村旅游发展的现状及对策研究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李秀云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我市当前乡村旅游发展面临问题分析及对策建议-----以沂水县院东头镇为例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谭树慧</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基于GEM模型的临沂市物流产业集群竞争力分析及优化路径选择</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田艳敏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4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加快临沂国际陆港建设，助推临沂开放发展</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王德娟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2019LX069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临沂市乡村旅游可持续发展“六融合”策略研究——以沂水县为例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王彦功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供给侧改革背景下临沂市“健康养老云”产业运营模式研究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王作灿</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乡村振兴战略下临沂农村公共文化服务供给研究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博</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全域旅游背景下临沂市乡村旅游发展现状与对策研究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王建敏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乡村振兴战略下的临沂乡村旅游发展对策研究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瑶</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民营企业在“新旧动能转换”背景下创新发展策略研究以“山东省老字号”高来德烧鸡为例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王东明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9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临沂市乡村全域旅游发展现状、问题及对策——以沂水、沂南为例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张保红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“乡村振兴”战略背景下乡村旅游提升发展策略研究----以竹泉村为例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临沂市乡村旅游发展面临问题分析及对策研究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张之亮</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临沂市乡村旅游发展路径研究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吴伟杰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2019LX079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临沂市深度融入“一带一路”建设研究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砚</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临沂市乡村振兴战略发展路径与对策研究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杨盛林</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乡村振兴战略背景下临沂市乡村旅游发展问题研究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赵莉莎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8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临沂红色文化资源产业化转化问题研究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焦华英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市委党校高新区分校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罗庄区突出企业主体地位加快新旧动能转换研究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宋开元</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罗庄区委党校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临港区高端不锈钢与先进特钢产业发展情况研究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邵明典</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临港开发区宣传办</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医养结合服务模式推进临沂“大健康”产业发展研究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王恒菊</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河东九曲社区卫生中心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新时期全域旅游视阈下沂蒙红色之旅发展策略研究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公</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高质量发展导向下强力推进兰山区新旧动能转换问题研究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孟凡洁</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新旧动能转换背景下兰山区木业产业发展研究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唐</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鑫</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2019LX089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乡村振兴背景下临沂市乡村旅游新业态结构研究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韩洪凌</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“互联网+”智慧养老服务模式推进临沂“大健康”产业高质量发展研究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王维青</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新旧动能转换背景下临沂市金融服务实体经济问题研究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李广森</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7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乡村振兴战略背景下鲁西南农耕文化资源挖掘与产业化开发研究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陈爱香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“临沂采摘第一镇”品牌建设与研究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张晓丽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罗庄区农业农村局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直播“网红”在乡村振兴中的作用研究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李宗帅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平邑县铜石镇中心校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乡村振兴融合发展模式研究—以临沂市丰喜园种植专业合作社为例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远德龙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罗庄畜牧发展促进中心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绘制潜在招商目标地图和项目落地地图研究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王虎彪</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市商务局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知识产权司法保护助力临沂市企业品牌建设研究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李永格</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智慧仓储助推传统方式变革 ----临沂仓储现状分析与对策</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刘国风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临沂商城港务局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2019LX099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关于中国物流科技城建设的研究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刘召云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临沂商城管理委员会</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5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临沂商城商文旅融合发展研究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振</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临沂商城管理委员会</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新时代社会主义核心价值观在沂水创新实践研究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刘兆华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沂水县委党校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扶贫攻坚中第一书记管理机制创新研究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侯艳青</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重大网络舆情事件协同应对机制探讨</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房玉勇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乡村振兴战略背景下农村基层党组织建设的路径研究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石慧娟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兰陵县委党校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挑山工精神的内涵与传播建设</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刘丙芬</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农村干部腐败问题研究-----基于费县的实证分析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鲁思爱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新时期高校意识形态工作问题及对策研究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新时代临沂党建工作创新研究——以费县创新推动党代表履职“常态化”为例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范敬敬</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2019LX109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新时代背景下临沂文化自信建设实践研究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崔</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新时代临沂高校学生党建工作创新研究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戚</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磊</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临沂市重大舆情事件协同应对策略研究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孙景珍</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cs="Times New Roman"/>
                <w:color w:val="000000" w:themeColor="text1"/>
              </w:rPr>
              <w:fldChar w:fldCharType="begin"/>
            </w:r>
            <w:r>
              <w:rPr>
                <w:rFonts w:hint="default" w:ascii="Times New Roman" w:hAnsi="Times New Roman" w:cs="Times New Roman"/>
                <w:color w:val="000000" w:themeColor="text1"/>
              </w:rPr>
              <w:instrText xml:space="preserve"> HYPERLINK "http://kns.cnki.net/kns/detail/detail.aspx?QueryID=0&amp;CurRec=19&amp;recid=&amp;FileName=1018215888.nh&amp;DbName=CMFD201802&amp;DbCode=CMFD&amp;yx=&amp;pr=&amp;URLID=" \t "_blank" </w:instrText>
            </w:r>
            <w:r>
              <w:rPr>
                <w:rFonts w:hint="default" w:ascii="Times New Roman" w:hAnsi="Times New Roman" w:cs="Times New Roman"/>
                <w:color w:val="000000" w:themeColor="text1"/>
              </w:rPr>
              <w:fldChar w:fldCharType="separate"/>
            </w:r>
            <w:r>
              <w:rPr>
                <w:rFonts w:hint="default" w:ascii="Times New Roman" w:hAnsi="Times New Roman" w:eastAsia="宋体" w:cs="Times New Roman"/>
                <w:color w:val="000000" w:themeColor="text1"/>
                <w:kern w:val="0"/>
                <w:sz w:val="20"/>
                <w:szCs w:val="21"/>
              </w:rPr>
              <w:t>全面从严治党视阈下临沂市农村基层干部腐败问题研究</w:t>
            </w:r>
            <w:r>
              <w:rPr>
                <w:rFonts w:hint="default" w:ascii="Times New Roman" w:hAnsi="Times New Roman" w:eastAsia="宋体" w:cs="Times New Roman"/>
                <w:color w:val="000000" w:themeColor="text1"/>
                <w:kern w:val="0"/>
                <w:sz w:val="20"/>
                <w:szCs w:val="21"/>
              </w:rPr>
              <w:fldChar w:fldCharType="end"/>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左玉龙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临沂市基层党建工作创新研究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凌</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霄</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1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新时代加强农村干部队伍管理的创新探索</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陈常永</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临港区党工委组织部</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1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沂蒙精神对加强高校基层党组织政治功能的启示</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现代乡村治理体系中的德治建设研究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刘延宏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加强新时代城市基层党建工作研究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房超群</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4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以乡村组织振兴推动乡村振兴问题研究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刘柯薇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2019LX119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党内政治文化在临沂的践行和发展研究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兰山区以组织振兴推动乡村振兴的路径探索</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新时代临沂高校大学生党建工作创新研究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eastAsia" w:ascii="Times New Roman" w:hAnsi="Times New Roman" w:eastAsia="宋体" w:cs="Times New Roman"/>
                <w:color w:val="000000" w:themeColor="text1"/>
                <w:kern w:val="0"/>
                <w:sz w:val="20"/>
                <w:szCs w:val="21"/>
                <w:lang w:val="en-US" w:eastAsia="zh-CN"/>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凡</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新时代高校“党建带团建”融合创新模式研究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陈士强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5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新时代大学生践行社会主义核心价值观体系研究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吕士华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5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我市乡村田园综合体打造过程中的农村土地流转存在的问题与对策研究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王伟业</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临沂市教育考试中心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构建“取之于群众诉求用之于解决群众诉求”数据闭环以大数据分析提升热线诉求办理水平</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解曙光</w:t>
            </w:r>
          </w:p>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王文峰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市政府办公室</w:t>
            </w:r>
          </w:p>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5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城市市政道路建设项目支出标准体系建设问题研究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王明鹏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临沂市财政局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临沂市易地扶贫搬迁实践与思考</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临沂市发改委</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业财融合框架下临沂市企业的管理会计体系的构建研究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袁</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8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2019LX129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当前我市营商环境存在的突出问题调查分析及对策建议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张现芹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临沂扶贫攻坚长效机制研究——以费县为例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杨德志</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基于乡村振兴的山地传统村落保护发展模式初探以山东临沂费县新庄镇东柱子村为例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0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临沂市城市标识语英译现状调查与研究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张艳艳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深化“一次办好”改革，进一步优化营商环境的路径探析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申恒余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市行政审批服务局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1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“一城引领”大数据中心建设研究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陈贞如</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临沂商城管委会</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临沂农村居民养老模式研究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临沂城区开展健身花样暴走可行性调查研究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戴</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兵</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9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农村老年人养老问题调查及对策研究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丁</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忠</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政府机构改革背景下的临沂市食品安全存在的问题及对策</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杜庆贵</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2019LX139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临沂市营商环境存在问题调查分析及对策建议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谢静静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临沂市居住空间分异及其效应评价研究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付成华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关于推动会计诚信体系建设的研究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傅</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关于临沂市气排球运动的有效推广策略研究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公如瑶</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基于双创视角下我市引进高素质人才机制的实践研究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琦</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城市空间结构视角下临沂市区交通拥堵成因及对策分析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崔晴晴</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我市社区养老志愿者服务模式探究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杨士娟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3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我市加强社会信用体系建设路径的合法性研究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7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实施“归雁”工程吸引在外人才回乡创业政策及帮扶机制研究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齐敬冰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省农广校临沂分校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当前我市营商环境存在的突出问题调查分析及对策建议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王红娟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2019LX149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互联网+背景下临沂市智慧居家养老服务模式研究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袁忠香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精准扶贫视域下临沂市贫困山区脱贫攻坚的实践创新</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张翠芹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临沂城市品牌形象识别系统设计研究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王代礼</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关于心理志愿服务三角模型的研究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王光芝</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当前我市营商环境突出问题调查及对策建议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张思莉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我市防范和化解重大金融风险问题研究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李枝叶</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市审计局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当前兰山区营商环境存在的突出问题调查分析及对策建议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黄培太</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当前我市民营企业经商环境存在的问题及对策研究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山东交通技师学院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新时代背景下临沂市防范和化解金融风险问题研究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宋满满</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临沂市严守生态保护红线面临的问题及对策研究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胡阿芹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2019LX159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转型期会计人员提高素质之我见</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孙传任</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临沂市高级财经学校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“放管服”背景下临沂市税收营商环境现状及对策研究——以莒南县为例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吴金政</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莒南县税务局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“医养结合”新型养老模式与传统养老服务模式的对比研究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李宝祥</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临沂市人民医院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医务社会工作视角下肿瘤患者疼痛管理（中强化人文关怀）研究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张培会</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临沂市人民医院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打造临沂医疗服务新品牌</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寇高尚</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临沂市人民医院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健康医疗大数据中心建设思路探究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袁小红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临沂市人民医院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我市严守生态保护红线面临的突出问题及对策建议—以国家级武河湿地公园为例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狄</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雷</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罗庄区农业农村局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当前临沂市营商环境存在的突出问题调查分析及对策建议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杜建君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沂南县行政审批服务局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建立健全稳定脱贫长效机制巩固提升脱贫成果研究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熊长远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市扶贫办</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临沂农村社会信用体系建设研究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2019LX169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沂蒙精神引领下的基层医联体精准帮扶建设研究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赵晓丽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临沂脱贫长效机制建设研究---以平邑县为例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晓</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乡村振兴背景下人才振兴的路径研究——以兰陵县为例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曹新新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兰陵县委党校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大健康背景下临沂市养老服务模式创新研究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景</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8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解决城市交通拥堵建设“畅通临沂”研究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李开才</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2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基于社会视角下临沂市社区养老服务模式存在的问题及对策研究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李媛媛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健康中国视域下农村新型社区老年体育发展现状及对策研究——以临沂市为例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周继锋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革命老区教育精准扶贫长效机制的路径策略研究—以临沂市为例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融媒体环境下如何继续办好“行风热线”---临沂市“行风热线”节目的实践思考</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陆建茹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临沂市城市标识语英译现状及规范化研究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庄冬文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2019LX179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临沂市大气污染现状及对策研究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陈建永</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“品牌临沂”建设的优势、问题及路径</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马</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蕾</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临沂市城市低龄老人社区志愿服务参与意愿的提升对策——基于社区工作视角</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媒体融合环境下临沂市县级电视媒体创新发展研究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王增芳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经济类行业协会行政脱钩后如何建立社会化市场化服务机制研究--以临沂市企业家协会为例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高宗振</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沂水县建设融媒体平台强化宣传工作研究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郝风成</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临沂市农村空巢老人的养老现状调查及对策研究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胡发光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预防返贫长效机制研究—以沂水县为例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李宗广</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乡村振兴战略背景下临沂市农村婚俗现状及改革策略研究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王洪娟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临沂市县域高层次人才引进现状及对策研究——以沂水县为例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王亚鹏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2019LX189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临沂市加强社会信用体系建设研究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王林霞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临沂市居民健康素养现状调查与分析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柏</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临沂市辖区社区居家养老产业模式发展研究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鲍</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乡村振兴战略背景下临沂市乡村医生队伍现状调查及对策研究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杜林娜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临沂市老年糖尿病患者居家养老需求现状的调查与分析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公</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9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我市社区老年人群中医健康素养的调查与提升—以山东医专实践为例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侯辰阳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9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临沂市机构养老服务现状及提升策略研究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霍连广</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临沂市社区居民急救知识技能的现状调查与对策研究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解修花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高职院校优质康复医学资源服务社区老年教育的研究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李丽英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临沂市志愿服务现状及问题研究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刘晓金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2019LX199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临沂对外宣传与城市标识语英译现状调查及规范化研究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吕建秀</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临沂市社区老年人药学服务模式的探讨</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马晓茜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临沂市农村养老现状调查分析研究—以莒南县调研数据为基础</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洁</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临沂市医养结合养老服务发展现状及应对策略研究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临沂市山区农村实施乡村振兴战略研究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王占庆</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社区微视角下的乡村振兴——以沂水县友兰社区为例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苏同艳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沂水县委党史研究中心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基于老年人生命质量的医养结合服务体系研究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秦大伟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临沂市人民医院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临沂市“扫黑除恶”践行的突出问题及对策建议研究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乡村振兴战略背景下传统村落的保护与发展研究—以临沂市国家级传统村落为例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邓星辰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我市大力实施乡村振兴战略中农村基础性工作研究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2019LX209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关于群众在日益增长的物质需求中食品安全意识缺失问题的研究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李军军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鲁南技师学院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临沂市公立医院用药安全重大风险问题研究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管海方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“体+医+养”结合的养老服务模式创新研究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闻</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农村社区体育助推我市“新时代文明实践中心”建设的路径研究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王念辉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文艺志愿服务在新时代文明实践工作中的重要作用</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王东峰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0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新旧动能转换下临沂乡村旅游人才队伍建设研究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徐洪涛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0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沂蒙红色旅游外宣资料和标识语翻译现状及规范化研究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张晓瑶</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医学英语在临沂城市建设提升中的价值研究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于海妮</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cs="Times New Roman"/>
                <w:color w:val="000000" w:themeColor="text1"/>
              </w:rPr>
              <w:fldChar w:fldCharType="begin"/>
            </w:r>
            <w:r>
              <w:rPr>
                <w:rFonts w:hint="default" w:ascii="Times New Roman" w:hAnsi="Times New Roman" w:cs="Times New Roman"/>
                <w:color w:val="000000" w:themeColor="text1"/>
              </w:rPr>
              <w:instrText xml:space="preserve"> HYPERLINK "http://42.247.3.5:9006/kns/detail/detail.aspx?QueryID=1&amp;CurRec=28&amp;recid=&amp;FileName=LZHB201809009&amp;DbName=CJFDLAST2018&amp;DbCode=CJFQ&amp;yx=&amp;pr=&amp;URLID=" \t "http://42.247.3.5:9006/kns/brief/_blank" </w:instrText>
            </w:r>
            <w:r>
              <w:rPr>
                <w:rFonts w:hint="default" w:ascii="Times New Roman" w:hAnsi="Times New Roman" w:cs="Times New Roman"/>
                <w:color w:val="000000" w:themeColor="text1"/>
              </w:rPr>
              <w:fldChar w:fldCharType="separate"/>
            </w:r>
            <w:r>
              <w:rPr>
                <w:rFonts w:hint="default" w:ascii="Times New Roman" w:hAnsi="Times New Roman" w:eastAsia="宋体" w:cs="Times New Roman"/>
                <w:color w:val="000000" w:themeColor="text1"/>
                <w:kern w:val="0"/>
                <w:sz w:val="20"/>
                <w:szCs w:val="21"/>
              </w:rPr>
              <w:t>翻译目的论视阈下城市标识语的英译失误及对策研究——以临沂市为例</w:t>
            </w:r>
            <w:r>
              <w:rPr>
                <w:rFonts w:hint="default" w:ascii="Times New Roman" w:hAnsi="Times New Roman" w:eastAsia="宋体" w:cs="Times New Roman"/>
                <w:color w:val="000000" w:themeColor="text1"/>
                <w:kern w:val="0"/>
                <w:sz w:val="20"/>
                <w:szCs w:val="21"/>
              </w:rPr>
              <w:fldChar w:fldCharType="end"/>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群</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bookmarkStart w:id="0" w:name="_Hlk4441676"/>
            <w:r>
              <w:rPr>
                <w:rFonts w:hint="default" w:ascii="Times New Roman" w:hAnsi="Times New Roman" w:eastAsia="宋体" w:cs="Times New Roman"/>
                <w:color w:val="000000" w:themeColor="text1"/>
                <w:kern w:val="0"/>
                <w:sz w:val="20"/>
                <w:szCs w:val="21"/>
              </w:rPr>
              <w:t>临沂市医院双语标识语翻译问题调查与解决对策</w:t>
            </w:r>
            <w:bookmarkEnd w:id="0"/>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肖</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2019LX219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临沂市田园综合体教育功能的整体开发研究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李学坤</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在文化旅游中“沂蒙红嫂”传统文化的现代转化研究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武</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斌</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提高公共文化服务效能，创建示范性志愿服务品牌</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王志银</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临沭县文化和旅游局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沂蒙文学：梦想与行动——打造沂蒙最美名片探究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咸西军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普通话与莒南方言的区别及纠正方法</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王加鑫</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临沂卫生学校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文化部门传承弘扬沂蒙优秀传统文化、转化发展问题研究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刘欣妍</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临沂市文化馆</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临沂文化志愿服务问题研究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闫</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劼</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临沂市文化馆</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沂蒙优秀传统文化传承弘扬、转化发展问题研究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坤</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“小郭泥塑”数字化提升与创新设计研究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杜洪亮</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沂蒙民间手绣造型艺术研究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陈英强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2019LX229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沂蒙优秀传统文化—孝文化的传承弘扬、转化发展问题研究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李玉玲</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基于推进乡村振兴进程中传承乡村传统文化的探索与研究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田</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沂蒙红色档案的当代价值实现研究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和谐文化视阈下临沂小郭泥塑的传承与创新研究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临沂市沂蒙优秀传统文化的创造性转化与创新性发展问题研究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段晓东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临沂市高级财经学校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郯城木旋玩具工艺保护与创新</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杜天龙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郯城县文化馆</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科技馆科技文化融合体验活动的策划与实施</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张梅萍</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临沂市科技馆</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沂蒙士子治学为官之道研究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郯城木旋玩具的美学特征及传承发展研究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谷大勇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9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沂蒙老区乡贤文化的传承与现代培育</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李桂峰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2019LX239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美国浪漫传奇映照下的沂蒙优秀传统文化走出去研究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全域旅游视域下红色沂蒙品牌视觉形象系统设计研究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刘学芳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新时代沂蒙孝文化的传承发展研究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马</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张铁民文艺创作实践探析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尚玉峰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沂蒙石刻文化资源的保护与开发研究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李同恩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沂蒙民间剪纸艺术研究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王鼎钧“乡土沂蒙”叙事问题研究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马学永</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1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沂蒙民间剪纸艺术传承与创新研究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齐自然</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8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新时代临沂市传承和弘扬优秀传统文化路径研究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孟祥艳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5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文化产业化视域下沂蒙古地名资源价值研究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苗守艳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8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2019LX249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新“鲁剧”品牌的营销环境与提升策略研究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蒲洪花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“临沂诗群”诗歌中的“母亲”书写与地域文化美质研究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桑</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1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沂蒙民歌“鲁南五大调”表演艺术美学与传承创新研究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霄</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临沂市红色旅游景区牌示解说英语翻译规范性问题分析及对策研究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eastAsia" w:ascii="Times New Roman" w:hAnsi="Times New Roman" w:eastAsia="宋体" w:cs="Times New Roman"/>
                <w:color w:val="000000" w:themeColor="text1"/>
                <w:kern w:val="0"/>
                <w:sz w:val="20"/>
                <w:szCs w:val="21"/>
                <w:lang w:val="en-US" w:eastAsia="zh-CN"/>
              </w:rPr>
            </w:pPr>
            <w:r>
              <w:rPr>
                <w:rFonts w:hint="default" w:ascii="Times New Roman" w:hAnsi="Times New Roman" w:eastAsia="宋体" w:cs="Times New Roman"/>
                <w:color w:val="000000" w:themeColor="text1"/>
                <w:kern w:val="0"/>
                <w:sz w:val="20"/>
                <w:szCs w:val="21"/>
              </w:rPr>
              <w:t>朱</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迪</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2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沂蒙书圣文化研究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杨勇民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沂蒙记忆——孙枫玲撕纸艺术</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专著</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段晓莉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费县县委</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新时代创新红色文化载体 提升文化自信的沂蒙样板研究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张业蕾</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3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临沂是中国第一个朝代——夏朝建国之地暨夏朝首个国都所在地考证</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聂邦瑞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临沂画院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7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《费县方言志》</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专著</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李玉超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费县宣传部</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高校医教结合模式下心理危机干预的实践路径研究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2019LX259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鲁南高校沂蒙优秀传统文化教育与弘扬——以青岛理工大学（临沂）校园特色品牌文化建设为例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胡乃强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加大农村技能型人才培养促进乡村振兴的研究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鲁南技师学院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提升技工院校办学质量，助推临沂社会经济发展研究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丁</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政</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8"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临沂市中小学校园足球竞赛体系与多元化发展路径研究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亮</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教育信息化背景下提升职业院校教师信息素养的策略探析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岳腾达</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高职学生沂蒙优秀传统文化与工匠精神培育素养提升的研究-以临沂职业学院为例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全民健身背景下临沂市高校体育场馆资源社会共享机制研究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肖国栋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乡村振兴背景下临沂农村妇女家庭教育能力提升策略研究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许金丽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高校图书馆为城市发展服务研究——以临沂大学图书馆为例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杨晓芳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临沂市职业教育对接当地产业的实践体系建设路径研究---以旅游管理专业为例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石</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2019LX269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高职院校网络舆情突发性事件应对与引导机制研究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姚建鹏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“县管校聘”政策背景下师资流动的问题、成因与对策——以临沂市为例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张慧杰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乡村振兴战略背景下图书馆精准服务及实现机制研究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郭</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旗</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我市技工院校青年志愿服务工作的深化与创新探索——以山东交通技师学院为例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李金营</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山东交通技师学院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临沂市大学生志愿服务引导与激励研究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张年年</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提升教师优秀传统文化教育素养的途径研究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王效华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市教育科学研究中心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“互联网+教育”推进乡村小规模学校质量提升的改革研究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尹若飞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市教育科学研究中心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城乡教育均衡发展中沂蒙老区教育精准扶贫实践研究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张怡斌</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“流苏文化”校本课程开发与实施研究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顾晓梅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临沂胜利小学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城乡教育一体化背景下信息化促进优质教育资源共享策略研究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惠连晓</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2019LX279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城市寄宿制小学学生学校适应性调查研究：基本现状、影响因素及提升策略</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姜开岩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临沂市乡村儿童阅览室建设与儿童沂蒙精神教育研究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博</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新工科背景下当代大学生实践基地育人模式及路径研究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李敬华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沂蒙红色文化视野下的高校体育文化发展研究——以临沂高校为例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李久德</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3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临沂市乡村教师助力乡村教育振兴的创新机制研究：建言行为视角</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青</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高校教师融入临沂城校融合创新的制度设计研究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栾兆云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“双一流”背景下高校图书馆智库型服务研究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刘建秋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临沂-阿拉伯贸易市场“语言互通”价值和商贸往来阿语人才培养启示</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任佳宁</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临沂市随迁子女入学的新挑战与新举措</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孙百娥</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临沂市幼儿教师工作投入感的现状调查与改进策略研究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吴仁英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2019LX289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县域城乡义务教育均衡发展现状与对策研究—以费县为例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曹庆芳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“校园高尔夫”在临沂市开展的可行性研究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孙凤利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临沂大学图书馆志愿者协会志愿服务问题研究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临沂市区学前适龄人口变化趋势与幼儿园空间布局的预测研究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孙晓涵</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0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高职院校扩招视域下大学生思想教育问题的现状与发展策略研究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刘会华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新型城镇化建设背景下公共文化教育研究---以沂水县为例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秦</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中华传统优秀文化教育融入临沂文明家园建设研究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顾顺晓</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临市委党校高新区分校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0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农村小学沂蒙优秀传统文化传承途径研究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李付江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费县梁邱镇安山头小学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“家庭医生签约服务”需求下高职医学人才培养体系研究—以临沂市为例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丁</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文化自信视阈下临沂职业院校中华优秀传统文化教育的研究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郭启亮</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2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2019LX299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临沂市高职高专大学生BMI分布现状与对策研究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胡光辉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临沂市大学生健康素养现状调查及健康促进策略研究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静</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临沂市青少年科技创新基地建设与品牌发展研究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倩</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临沂市科技馆</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临沂市高校智慧校园建设与发展对策研究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乜大伟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大学生志愿服务问题及对策研究——基于临沂市3所高校的实证调查</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王爱华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“一带一路”战略视域下山东省高职医学院校国际化人才培养模式探析</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王家霞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学生标准化病人在提升临沂市大学生急救能力中的探索研究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王利瑞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社会主义核心价值观引领下医卫类高职院校学生职业能力的培养路径</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闫晓华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新旧动能转换视域下临沂市养老机构现状的调查分析——山东医专开展“医养结合”相关医疗</w:t>
            </w:r>
          </w:p>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人才培养的调研</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蕾</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沂蒙精神融入学校德育工作的深化研究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王成花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临沂市工业学校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2019LX309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临沂市职业院校学生医学相关社会主义核心价值观的现状及影响因素的研究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晓</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山东医学高等专科学校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我市当前县级教师进修学校发展面临的问题分析与对策建议</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杨秀科</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平邑县教师进修学校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学校云平台资源建设研究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龙</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临沂第二十中学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基于立德树人根本任务的小学润心教育研究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王立华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莒南县第一小学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新时代大学生成长规律、路径和素养提升研究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吴付法</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临沂市班主任专业发展与学生“沂蒙精神传承”等德育途径的区域性探索与研究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临沂第三十九中学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760" w:type="dxa"/>
            <w:gridSpan w:val="7"/>
            <w:vAlign w:val="center"/>
          </w:tcPr>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宋体" w:cs="Times New Roman"/>
                <w:color w:val="000000" w:themeColor="text1"/>
                <w:kern w:val="0"/>
                <w:sz w:val="32"/>
                <w:szCs w:val="32"/>
              </w:rPr>
            </w:pPr>
            <w:r>
              <w:rPr>
                <w:rFonts w:hint="default" w:ascii="Times New Roman" w:hAnsi="Times New Roman" w:eastAsia="黑体" w:cs="Times New Roman"/>
                <w:color w:val="000000" w:themeColor="text1"/>
                <w:kern w:val="0"/>
                <w:sz w:val="32"/>
                <w:szCs w:val="32"/>
              </w:rPr>
              <w:t>习近平新时代中国特色社会主义思想在临沂的践行研究专项（12项）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2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序号</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课 题 名 称</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预期成果</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申报人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所在单位</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9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习近平新时代中国特色社会主义思想在临沂的践行研究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史姚红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临沂道德教育研究会诗词教育分会</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习近平新时代中国特色社会主义思想在临沂新农村建设中的践行研究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梁忠华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习近平新时代中国特色社会主义思想在临沂的践行之乡村振兴代村模式研究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任传玲</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兰陵县委党校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习近平新时代青年理想信念建设的理论与实践研究——以临沂大学为例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白海若</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2019LX319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习近平革命老区脱贫攻坚理论研究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刘慧</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习近平总书记“实施</w:t>
            </w:r>
            <w:bookmarkStart w:id="1" w:name="OLE_LINK2"/>
            <w:r>
              <w:rPr>
                <w:rFonts w:hint="default" w:ascii="Times New Roman" w:hAnsi="Times New Roman" w:eastAsia="宋体" w:cs="Times New Roman"/>
                <w:color w:val="000000" w:themeColor="text1"/>
                <w:kern w:val="0"/>
                <w:sz w:val="20"/>
                <w:szCs w:val="21"/>
              </w:rPr>
              <w:t>健康中国战略</w:t>
            </w:r>
            <w:bookmarkEnd w:id="1"/>
            <w:r>
              <w:rPr>
                <w:rFonts w:hint="default" w:ascii="Times New Roman" w:hAnsi="Times New Roman" w:eastAsia="宋体" w:cs="Times New Roman"/>
                <w:color w:val="000000" w:themeColor="text1"/>
                <w:kern w:val="0"/>
                <w:sz w:val="20"/>
                <w:szCs w:val="21"/>
              </w:rPr>
              <w:t>”指导下临沂康养产业的创新发展</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徐钱立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习近平生态文明建设思想引领下沂蒙山区美丽乡村建设案例研究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杨锡丽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临沂商城践行习近平新时代中国特色社会主义经济思想研究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邱君帝</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习近平新时代中国特色社会主义思想在临沂的民生实践与发展</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郁万青</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新时代改革强军背景下的高校国防教育创新发展研究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许云超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习近平青年思想政治教育观研究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刘希娟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山东医专</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“习近平新时代中国特色社会主义思想在职业院校素质教育中的践行研究”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山东医专</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63" w:hRule="atLeast"/>
          <w:jc w:val="center"/>
        </w:trPr>
        <w:tc>
          <w:tcPr>
            <w:tcW w:w="15760" w:type="dxa"/>
            <w:gridSpan w:val="7"/>
            <w:vAlign w:val="center"/>
          </w:tcPr>
          <w:p>
            <w:pPr>
              <w:keepNext w:val="0"/>
              <w:keepLines w:val="0"/>
              <w:pageBreakBefore w:val="0"/>
              <w:widowControl w:val="0"/>
              <w:kinsoku/>
              <w:wordWrap/>
              <w:overflowPunct w:val="0"/>
              <w:topLinePunct w:val="0"/>
              <w:autoSpaceDE/>
              <w:autoSpaceDN/>
              <w:bidi w:val="0"/>
              <w:adjustRightInd/>
              <w:snapToGrid/>
              <w:spacing w:line="600" w:lineRule="exact"/>
              <w:jc w:val="center"/>
              <w:textAlignment w:val="center"/>
              <w:rPr>
                <w:rFonts w:hint="default" w:ascii="Times New Roman" w:hAnsi="Times New Roman" w:eastAsia="宋体" w:cs="Times New Roman"/>
                <w:color w:val="000000" w:themeColor="text1"/>
                <w:kern w:val="0"/>
                <w:sz w:val="32"/>
                <w:szCs w:val="32"/>
              </w:rPr>
            </w:pPr>
            <w:r>
              <w:rPr>
                <w:rFonts w:hint="default" w:ascii="Times New Roman" w:hAnsi="Times New Roman" w:eastAsia="黑体" w:cs="Times New Roman"/>
                <w:color w:val="000000" w:themeColor="text1"/>
                <w:kern w:val="0"/>
                <w:sz w:val="32"/>
                <w:szCs w:val="32"/>
              </w:rPr>
              <w:t>沂蒙精神专项（103项）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序号</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课 题 名 称</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预期成果</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申报人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所在单位</w:t>
            </w:r>
          </w:p>
        </w:tc>
        <w:tc>
          <w:tcPr>
            <w:tcW w:w="1237" w:type="dxa"/>
            <w:gridSpan w:val="3"/>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黑体" w:cs="Times New Roman"/>
                <w:color w:val="000000" w:themeColor="text1"/>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沂蒙精神的儿童启蒙路径</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王琪钧</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市妇女儿童活动中心</w:t>
            </w:r>
          </w:p>
        </w:tc>
        <w:tc>
          <w:tcPr>
            <w:tcW w:w="1237" w:type="dxa"/>
            <w:gridSpan w:val="3"/>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论沂蒙精神在中国共产党精神谱系中的历史地位</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周永军</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市委第二巡察组</w:t>
            </w:r>
          </w:p>
        </w:tc>
        <w:tc>
          <w:tcPr>
            <w:tcW w:w="1237" w:type="dxa"/>
            <w:gridSpan w:val="3"/>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2019LX329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党建引领沂蒙红色物业发展</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王绍娟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市住房和城乡建设局</w:t>
            </w:r>
          </w:p>
        </w:tc>
        <w:tc>
          <w:tcPr>
            <w:tcW w:w="1237" w:type="dxa"/>
            <w:gridSpan w:val="3"/>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陈毅在临沂年谱</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专著</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季本晨</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临沂市人民医院</w:t>
            </w:r>
          </w:p>
        </w:tc>
        <w:tc>
          <w:tcPr>
            <w:tcW w:w="1237" w:type="dxa"/>
            <w:gridSpan w:val="3"/>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百年老院历史传承中的沂蒙精神研究——以临沂市人民医院为例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临沂市人民医院</w:t>
            </w:r>
          </w:p>
        </w:tc>
        <w:tc>
          <w:tcPr>
            <w:tcW w:w="1237" w:type="dxa"/>
            <w:gridSpan w:val="3"/>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融媒体背景下沂蒙红色文化认同的“疏离”困境及实践路径研究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丁欣雨</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青岛理工大学（临沂）</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2"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用沂蒙精神开展儿童启蒙教育研究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赵金玲</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临沂凤凰实验幼儿园</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以沂蒙精神深化“不忘初心牢记使命”教育研究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付冉冉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沂蒙精神融入新时代发展实践研究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临沂红色文化资源育人和产业化转化问题研究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新时代弘扬沂蒙精神传承红色基因路径探索与创新研究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王秀梅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弘扬沂蒙精神，激励党员干部担当作为研究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钟呈雷</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河东区委党校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2019LX339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新时代弘扬沂蒙精神传承红色基因路径探索与创新研究以高职院校信息技术应用为例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沂蒙精神与心理教育相结合促进儿童自我意识发展的研究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丽</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新时代融入沂蒙精神深化“不忘初心牢记使命”的就业创业教育研究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杜金华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高职院校中弘扬沂蒙精神传承红色基因创新路径研究—以临沂职业学院为例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杜伟迪</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新时代职业院校红色文化育人路径探索与创新研究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胡东晓</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以沂蒙精神在高校中深化“不忘初心”教育研究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欣</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沂蒙精神在儿童启蒙教育中的应用</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刘文燕</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以沂蒙精神为载体深化“不忘初心牢记使命”教育研究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隋燕玲</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用沂蒙精神开展儿童启蒙教育研究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孙宗广</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新时代高职院校弘扬沂蒙精神传承红色基因路径探索与创新研究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王金义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临沂职业学院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2019LX349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提升沂蒙精神理论层次与影响层次问题研究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张学兰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山东交通技师学院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7"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沂蒙精神教育融入高中思想政治课路径研究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傅石灵</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市教育科学研究中心</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推进沂蒙精神进校园传承红色基因研究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于青松</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沂水县沂蒙中学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4"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沂蒙精神融入新时代发展研究----以临沂市兰山区为例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王中华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兰山区委党校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63"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新时代弘扬沂蒙精神传承红色基因路径探索与创新研究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张淑琴</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临沂北城小学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11"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新形势下沂蒙精神融入高中思想政治教育体系的研究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刘国梅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临沂商城外国语学校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以沂蒙精神为核心引领中职学校思想政治教育研究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管艳梅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临沂市高级财经学校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中职学校思想政治教育融入红色基因的研究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斌</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临沂市高级财经学校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寓沂蒙精神于动漫开展儿童启蒙教育研究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黄国良</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临沂道德教育研究会</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用沂蒙精神开展儿童启蒙教育研究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卢荣荣</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莒南筵宾镇略庄小学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2019LX359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新时代沂蒙精神融入未成年人思想道德建设的策略研究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莒南县第四中学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用沂蒙精神开展儿童启蒙教育研究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赵秀霞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临沭街道第二小学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沂蒙红色文化融入中小学德育课程的研究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帆</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临沂二小南京路校区</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基于沂蒙精神育人的青少年学生价值观教育研究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白金山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沂蒙红色资源育人路径的探索——基于小学校本课程开发的视角</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柏</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灵</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23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培育新时代沂蒙精神“标志性文化符号”的路径研究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陈为艳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沂蒙精神对于坚定文化自信的价值和意义</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陈永莲</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沂蒙精神对当代大学生理想信念的引领与塑造研究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方</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44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沂蒙红色基因民歌与培育新时代沂蒙精神“标志性文化符号”研究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胡原原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沂蒙精神助推临沂乡村振兴研究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李高东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both"/>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48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2019LX369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沂蒙精神指导下的儿童启蒙绘本的开发与制作</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李国强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44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新时代沂蒙精神融入临沂大学校园文化建设路径研究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磊</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基于微视频时代的沂蒙精神传播研究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新时代背景下沂蒙精神的弘扬路径探索与创新研究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梁</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敏</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培育新时代沂蒙精神“标志性文化符号”研究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唱响沂蒙红色歌曲，弘扬沂蒙精神——临沂市声乐启蒙教育现状调查研究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刘婷婷</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新时代沂蒙精神融入大学生思想政治教育的路径和模式研究—以临沂大学为例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马卫华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抗大一分校沂蒙根据地美术活动研究与传承路径探索</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冉利强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沂蒙精神有效融入班级精神文化建设研究——以五年制大专为例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石运健</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沂蒙根据地山东新华书店美术研究与传承路径探索</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孙艳华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2019LX379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沂蒙红色文化资源数据库共建共享研究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王发友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涵化理论视域下儿童沂蒙精神启蒙教育路径研究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王淑芹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融媒体时代沂蒙革命老区高校图书馆传承红色基因创新路径研究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谢瑞霞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传承红色基因 助力沂蒙发展——临沂市红色文化资源产业化发展研究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邢树娜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《沂蒙精神》（小学版）教材实施策略研究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徐红玉</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临沂红色文化在新旧动能转换中的作用及其开发研究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徐勤娜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沂蒙精神在临沂市公务员系统中的认知现状与弘扬路径探索</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杨成艳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新时代青少年弘扬沂蒙精神传承红色基因路径初探</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杨厚波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儿童启蒙视角下沂蒙精神故事的时代活化研究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杨金花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新媒体技术下沂蒙精神美术作品的数字化变革</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姚丽霞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2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2019LX389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沂蒙精神在企业文化塑造中的作用研究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玲</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临沂市红色文化的经济效应研究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张英杰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用沂蒙精神开展幼儿启蒙教育研究——以临沂市部分幼儿园为例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颖</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儿童文学教育视角下沂蒙精神的启蒙研究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振</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沂蒙精神在开展五年制专科学生德育中的应用研究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刘德强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沂蒙红色文化与新时代大学生价值观教育研究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沂蒙精神引领下的新时代大学生创新创业研究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聂韶华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沂蒙精神融入我市中小学艺术教育研究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临沂大学费县校区</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新时代儿童沂蒙精神启蒙教育生活化路径研究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石庆伟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临沂大学沂水校区</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沂蒙精神在职业学校班级管理工作中作用的研究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任金艳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鲁南技师学院</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2019LX399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将沂蒙精神融入学生思想政治教育的探究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鲁南技师学院</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基于传承主体视角下沂蒙精神融入新时代发展实践研究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潘洪娥</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继承弘扬沂蒙精神中“敢闯新路”的精神品质研究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王成娟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沂蒙精神与红色文旅融合发展问题研究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薄世杰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评审资助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沂蒙精神融入我市新时代乡村振兴战略实践研究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崔</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伟</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从沂蒙党风廉政建设看中国共产党人的初心与使命</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何</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新时代弘扬沂蒙精神传承红色基因路径探索与创新研究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李荣田</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临沂红色文化资源育人和产业化转化问题研究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李</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燕</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新时代弘扬沂蒙精神传承红色基因的基本路径研究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刘占全</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牢牢掌握意识形态工作话语权视域下弘扬沂蒙精神问题研究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闵</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2019LX409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新时代弘扬沂蒙精神传承红色基因路径探索与创新研究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徐</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莹</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新时代沂蒙精神的思想源泉</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杨俊英</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沂蒙精神与党的初心研究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朱</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璇</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临沂市委党校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从沂蒙水利建设视角探讨如何在新时代传承和弘扬沂蒙精神</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王芸飞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市委党校经开区分校</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32"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沂蒙红色文化基于网络创新环境下传播路径的研究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胡蕊蕊</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费县薛庄镇中心小学</w:t>
            </w:r>
          </w:p>
        </w:tc>
        <w:tc>
          <w:tcPr>
            <w:tcW w:w="1205"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临沂红色音乐文化资源的开发与利用研究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陈</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费县第一中学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新时代弘扬沂蒙精神传承红色基因中学生理想信念教育路径探索与创新研究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田松东</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费县第二中学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“文化自信”视阈下以“沂蒙精神”引领大学生思想政治教育工作的路径研究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强</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山东医专</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新时代以沂蒙精神涵养我市高职医学生人文情怀的策略研究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钱</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程</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山东医专</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新时代青少年弘扬沂蒙精神传承红色基因现状调查与对策研究——以临沂市为例</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王光荣</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山东医科</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2019LX419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沂蒙精神视阈下高职医学生人文素养教育研究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山东医专</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2019LX420</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新时代沂蒙精神融入高校辅导员管理工作研究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周</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山东医专</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2019LX421</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沂蒙精神园本课程的开发与实践</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马政霞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平邑兴蒙学校幼儿园</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2019LX422</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利用沂蒙精神打造红色校园文化形成德育优势的研究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张成刚</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平邑县第二实验小学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76"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2019LX423</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沂蒙精神之“塑心教育”课程的利用途径和方法的研究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张</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帅</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平邑县第二实验小学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2019LX424</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基于地域文化资源的红色基因传承路径探索与创新研究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姚</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健</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平邑第一中学</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2019LX425</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用沂蒙精神开展儿童启蒙教育研究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刘</w:t>
            </w:r>
            <w:r>
              <w:rPr>
                <w:rFonts w:hint="eastAsia" w:ascii="Times New Roman" w:hAnsi="Times New Roman" w:eastAsia="宋体" w:cs="Times New Roman"/>
                <w:color w:val="000000" w:themeColor="text1"/>
                <w:kern w:val="0"/>
                <w:sz w:val="20"/>
                <w:szCs w:val="21"/>
                <w:lang w:val="en-US" w:eastAsia="zh-CN"/>
              </w:rPr>
              <w:t xml:space="preserve">  </w:t>
            </w:r>
            <w:r>
              <w:rPr>
                <w:rFonts w:hint="default" w:ascii="Times New Roman" w:hAnsi="Times New Roman" w:eastAsia="宋体" w:cs="Times New Roman"/>
                <w:color w:val="000000" w:themeColor="text1"/>
                <w:kern w:val="0"/>
                <w:sz w:val="20"/>
                <w:szCs w:val="21"/>
              </w:rPr>
              <w:t>波</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平邑县教体局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2019LX426</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“共享沂蒙精神育人，优化区域资源推进”的研究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谢发霞</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沂南县财政局</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85"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2019LX427</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用沂蒙精神开展儿童启蒙教育研究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丁凤华</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沂南县卧龙学校</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360"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2019LX428</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以沂蒙精神深化“不忘初心，牢记使命”教育研究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学术论文</w:t>
            </w:r>
          </w:p>
        </w:tc>
        <w:tc>
          <w:tcPr>
            <w:tcW w:w="1140" w:type="dxa"/>
            <w:vAlign w:val="center"/>
          </w:tcPr>
          <w:p>
            <w:pPr>
              <w:keepNext w:val="0"/>
              <w:keepLines w:val="0"/>
              <w:pageBreakBefore w:val="0"/>
              <w:widowControl w:val="0"/>
              <w:tabs>
                <w:tab w:val="left" w:pos="279"/>
              </w:tabs>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王忠惠</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山东交通技师学院</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249" w:hRule="atLeast"/>
          <w:jc w:val="center"/>
        </w:trPr>
        <w:tc>
          <w:tcPr>
            <w:tcW w:w="1524"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textAlignment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2"/>
              </w:rPr>
              <w:t>2019LX429</w:t>
            </w:r>
          </w:p>
        </w:tc>
        <w:tc>
          <w:tcPr>
            <w:tcW w:w="8559"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罗生特医学人文素养的研究</w:t>
            </w:r>
          </w:p>
        </w:tc>
        <w:tc>
          <w:tcPr>
            <w:tcW w:w="1017"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研究报告</w:t>
            </w:r>
          </w:p>
        </w:tc>
        <w:tc>
          <w:tcPr>
            <w:tcW w:w="1140"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邵小琳</w:t>
            </w:r>
          </w:p>
        </w:tc>
        <w:tc>
          <w:tcPr>
            <w:tcW w:w="2298" w:type="dxa"/>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山东医专</w:t>
            </w:r>
          </w:p>
        </w:tc>
        <w:tc>
          <w:tcPr>
            <w:tcW w:w="1222" w:type="dxa"/>
            <w:gridSpan w:val="2"/>
            <w:vAlign w:val="center"/>
          </w:tcPr>
          <w:p>
            <w:pPr>
              <w:keepNext w:val="0"/>
              <w:keepLines w:val="0"/>
              <w:pageBreakBefore w:val="0"/>
              <w:widowControl w:val="0"/>
              <w:kinsoku/>
              <w:wordWrap/>
              <w:overflowPunct w:val="0"/>
              <w:topLinePunct w:val="0"/>
              <w:autoSpaceDE/>
              <w:autoSpaceDN/>
              <w:bidi w:val="0"/>
              <w:adjustRightInd/>
              <w:snapToGrid/>
              <w:spacing w:line="320" w:lineRule="exact"/>
              <w:jc w:val="center"/>
              <w:rPr>
                <w:rFonts w:hint="default" w:ascii="Times New Roman" w:hAnsi="Times New Roman" w:eastAsia="宋体" w:cs="Times New Roman"/>
                <w:color w:val="000000" w:themeColor="text1"/>
                <w:kern w:val="0"/>
                <w:sz w:val="20"/>
                <w:szCs w:val="21"/>
              </w:rPr>
            </w:pPr>
            <w:r>
              <w:rPr>
                <w:rFonts w:hint="default" w:ascii="Times New Roman" w:hAnsi="Times New Roman" w:eastAsia="宋体" w:cs="Times New Roman"/>
                <w:color w:val="000000" w:themeColor="text1"/>
                <w:kern w:val="0"/>
                <w:sz w:val="20"/>
                <w:szCs w:val="21"/>
              </w:rPr>
              <w:t>委托资助</w:t>
            </w:r>
          </w:p>
        </w:tc>
      </w:tr>
    </w:tbl>
    <w:p>
      <w:pPr>
        <w:keepNext w:val="0"/>
        <w:keepLines w:val="0"/>
        <w:pageBreakBefore w:val="0"/>
        <w:widowControl/>
        <w:kinsoku/>
        <w:wordWrap/>
        <w:topLinePunct w:val="0"/>
        <w:autoSpaceDE/>
        <w:autoSpaceDN/>
        <w:bidi w:val="0"/>
        <w:adjustRightInd/>
        <w:snapToGrid/>
        <w:spacing w:line="320" w:lineRule="exact"/>
        <w:ind w:firstLine="645"/>
        <w:rPr>
          <w:rFonts w:hint="default" w:ascii="Times New Roman" w:hAnsi="Times New Roman" w:cs="Times New Roman"/>
          <w:color w:val="000000" w:themeColor="text1"/>
        </w:rPr>
      </w:pPr>
    </w:p>
    <w:p>
      <w:pPr>
        <w:widowControl/>
        <w:spacing w:line="560" w:lineRule="exact"/>
        <w:ind w:firstLine="645"/>
        <w:rPr>
          <w:rFonts w:hint="default" w:ascii="Times New Roman" w:hAnsi="Times New Roman" w:cs="Times New Roman"/>
          <w:color w:val="000000" w:themeColor="text1"/>
        </w:rPr>
      </w:pPr>
    </w:p>
    <w:p>
      <w:pPr>
        <w:widowControl/>
        <w:spacing w:line="560" w:lineRule="exact"/>
        <w:ind w:firstLine="645"/>
        <w:rPr>
          <w:rFonts w:hint="default" w:ascii="Times New Roman" w:hAnsi="Times New Roman" w:eastAsia="仿宋_GB2312" w:cs="Times New Roman"/>
          <w:color w:val="000000" w:themeColor="text1"/>
          <w:kern w:val="0"/>
          <w:sz w:val="32"/>
          <w:szCs w:val="32"/>
        </w:rPr>
        <w:sectPr>
          <w:pgSz w:w="16838" w:h="11906" w:orient="landscape"/>
          <w:pgMar w:top="1247" w:right="1247" w:bottom="1417" w:left="1247" w:header="851" w:footer="992" w:gutter="0"/>
          <w:pgNumType w:fmt="numberInDash"/>
          <w:cols w:space="0" w:num="1"/>
          <w:rtlGutter w:val="0"/>
          <w:docGrid w:type="linesAndChars" w:linePitch="312" w:charSpace="0"/>
        </w:sectPr>
      </w:pPr>
    </w:p>
    <w:p>
      <w:pPr>
        <w:widowControl/>
        <w:spacing w:line="560" w:lineRule="exact"/>
        <w:rPr>
          <w:rFonts w:hint="default" w:ascii="Times New Roman" w:hAnsi="Times New Roman" w:eastAsia="仿宋_GB2312" w:cs="Times New Roman"/>
          <w:color w:val="000000" w:themeColor="text1"/>
          <w:kern w:val="0"/>
          <w:sz w:val="32"/>
          <w:szCs w:val="32"/>
        </w:rPr>
      </w:pPr>
    </w:p>
    <w:p>
      <w:pPr>
        <w:widowControl/>
        <w:spacing w:line="560" w:lineRule="exact"/>
        <w:rPr>
          <w:rFonts w:hint="default" w:ascii="Times New Roman" w:hAnsi="Times New Roman" w:eastAsia="仿宋_GB2312" w:cs="Times New Roman"/>
          <w:color w:val="000000" w:themeColor="text1"/>
          <w:kern w:val="0"/>
          <w:sz w:val="32"/>
          <w:szCs w:val="32"/>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880" w:lineRule="exact"/>
        <w:ind w:left="0" w:leftChars="0" w:right="0" w:rightChars="0" w:firstLine="0" w:firstLineChars="0"/>
        <w:jc w:val="both"/>
        <w:textAlignment w:val="auto"/>
        <w:outlineLvl w:val="9"/>
        <w:rPr>
          <w:rFonts w:hint="default" w:ascii="Times New Roman" w:hAnsi="Times New Roman" w:eastAsia="仿宋_GB2312" w:cs="Times New Roman"/>
          <w:color w:val="000000" w:themeColor="text1"/>
          <w:kern w:val="0"/>
          <w:sz w:val="32"/>
          <w:szCs w:val="32"/>
          <w:u w:val="none"/>
        </w:rPr>
      </w:pPr>
      <w:r>
        <w:rPr>
          <w:rFonts w:hint="default" w:ascii="Times New Roman" w:hAnsi="Times New Roman" w:eastAsia="仿宋_GB2312" w:cs="Times New Roman"/>
          <w:kern w:val="2"/>
          <w:sz w:val="21"/>
          <w:szCs w:val="24"/>
          <w:lang w:val="en-US" w:eastAsia="zh-CN" w:bidi="ar"/>
        </w:rPr>
        <w:pict>
          <v:line id="_x0000_s2053" o:spid="_x0000_s2053" o:spt="20" style="position:absolute;left:0pt;margin-left:1.25pt;margin-top:16.9pt;height:0pt;width:441pt;mso-wrap-distance-left:9pt;mso-wrap-distance-right:9pt;z-index:-251644928;mso-width-relative:page;mso-height-relative:page;" coordsize="21600,21600" wrapcoords="0 0 21600 0 0 0">
            <v:path arrowok="t"/>
            <v:fill focussize="0,0"/>
            <v:stroke weight="1.25pt"/>
            <v:imagedata o:title=""/>
            <o:lock v:ext="edit"/>
            <w10:wrap type="tight"/>
          </v:line>
        </w:pict>
      </w:r>
      <w:r>
        <w:rPr>
          <w:rFonts w:hint="default" w:ascii="Times New Roman" w:hAnsi="Times New Roman" w:eastAsia="仿宋_GB2312" w:cs="Times New Roman"/>
          <w:color w:val="000000" w:themeColor="text1"/>
          <w:sz w:val="28"/>
          <w:szCs w:val="28"/>
          <w:u w:val="none"/>
        </w:rPr>
        <w:t>抄报：市委宣传部、市财政局、市纪委市监委派驻第七纪检监察组</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1"/>
          <w:szCs w:val="24"/>
          <w:lang w:val="en-US" w:eastAsia="zh-CN" w:bidi="ar"/>
        </w:rPr>
        <w:pict>
          <v:line id="_x0000_s2051" o:spid="_x0000_s2051" o:spt="20" style="position:absolute;left:0pt;margin-left:0.6pt;margin-top:0.65pt;height:0pt;width:441pt;z-index:251663360;mso-width-relative:page;mso-height-relative:page;" coordsize="21600,21600">
            <v:path arrowok="t"/>
            <v:fill focussize="0,0"/>
            <v:stroke weight="1.25pt"/>
            <v:imagedata o:title=""/>
            <o:lock v:ext="edit"/>
          </v:line>
        </w:pict>
      </w:r>
      <w:r>
        <w:rPr>
          <w:rFonts w:hint="default" w:ascii="Times New Roman" w:hAnsi="Times New Roman" w:eastAsia="仿宋_GB2312" w:cs="Times New Roman"/>
          <w:kern w:val="2"/>
          <w:sz w:val="28"/>
          <w:szCs w:val="28"/>
          <w:lang w:val="en-US" w:eastAsia="zh-CN" w:bidi="ar"/>
        </w:rPr>
        <w:t>临沂市社会科学界联合会办公室              2019年4月29日印发</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kern w:val="2"/>
          <w:sz w:val="21"/>
          <w:szCs w:val="24"/>
          <w:lang w:val="en-US" w:eastAsia="zh-CN" w:bidi="ar"/>
        </w:rPr>
        <w:pict>
          <v:line id="直线 5" o:spid="_x0000_s2052" o:spt="20" style="position:absolute;left:0pt;margin-left:0.6pt;margin-top:-0.05pt;height:0pt;width:441pt;z-index:251664384;mso-width-relative:page;mso-height-relative:page;" coordsize="21600,21600">
            <v:path arrowok="t"/>
            <v:fill focussize="0,0"/>
            <v:stroke weight="1.25pt"/>
            <v:imagedata o:title=""/>
            <o:lock v:ext="edit"/>
          </v:line>
        </w:pict>
      </w:r>
      <w:r>
        <w:rPr>
          <w:rFonts w:hint="default" w:ascii="Times New Roman" w:hAnsi="Times New Roman" w:eastAsia="仿宋_GB2312" w:cs="Times New Roman"/>
          <w:kern w:val="2"/>
          <w:sz w:val="28"/>
          <w:szCs w:val="28"/>
          <w:lang w:val="en-US" w:eastAsia="zh-CN" w:bidi="ar"/>
        </w:rPr>
        <w:t xml:space="preserve">                                         （共印</w:t>
      </w:r>
      <w:r>
        <w:rPr>
          <w:rFonts w:hint="eastAsia" w:ascii="Times New Roman" w:hAnsi="Times New Roman" w:eastAsia="仿宋_GB2312" w:cs="Times New Roman"/>
          <w:kern w:val="2"/>
          <w:sz w:val="28"/>
          <w:szCs w:val="28"/>
          <w:lang w:val="en-US" w:eastAsia="zh-CN" w:bidi="ar"/>
        </w:rPr>
        <w:t>4</w:t>
      </w:r>
      <w:r>
        <w:rPr>
          <w:rFonts w:hint="default" w:ascii="Times New Roman" w:hAnsi="Times New Roman" w:eastAsia="仿宋_GB2312" w:cs="Times New Roman"/>
          <w:kern w:val="2"/>
          <w:sz w:val="28"/>
          <w:szCs w:val="28"/>
          <w:lang w:val="en-US" w:eastAsia="zh-CN" w:bidi="ar"/>
        </w:rPr>
        <w:t>50份）</w:t>
      </w:r>
    </w:p>
    <w:sectPr>
      <w:footerReference r:id="rId4" w:type="default"/>
      <w:pgSz w:w="11906" w:h="16838"/>
      <w:pgMar w:top="1701" w:right="1588" w:bottom="1440"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文星标宋">
    <w:panose1 w:val="0201060900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- 2 -</w:t>
                </w:r>
                <w:r>
                  <w:rPr>
                    <w:rFonts w:hint="eastAsia" w:asciiTheme="minorEastAsia" w:hAnsiTheme="minorEastAsia" w:eastAsiaTheme="minorEastAsia" w:cstheme="minorEastAsia"/>
                    <w:sz w:val="24"/>
                    <w:szCs w:val="24"/>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2589C"/>
    <w:rsid w:val="0012589C"/>
    <w:rsid w:val="00727D7B"/>
    <w:rsid w:val="00767B7B"/>
    <w:rsid w:val="007F6FF4"/>
    <w:rsid w:val="008E7490"/>
    <w:rsid w:val="00976E9B"/>
    <w:rsid w:val="009F0505"/>
    <w:rsid w:val="00B4579F"/>
    <w:rsid w:val="00B56F5E"/>
    <w:rsid w:val="00EF3CDC"/>
    <w:rsid w:val="042F1E0A"/>
    <w:rsid w:val="130C7927"/>
    <w:rsid w:val="14461D85"/>
    <w:rsid w:val="172501BC"/>
    <w:rsid w:val="22067F75"/>
    <w:rsid w:val="25912852"/>
    <w:rsid w:val="342B6C44"/>
    <w:rsid w:val="38A77278"/>
    <w:rsid w:val="442767C4"/>
    <w:rsid w:val="44B103BB"/>
    <w:rsid w:val="4C9176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5"/>
    <w:semiHidden/>
    <w:unhideWhenUsed/>
    <w:qFormat/>
    <w:uiPriority w:val="99"/>
    <w:pPr>
      <w:ind w:left="100" w:leftChars="2500"/>
    </w:pPr>
  </w:style>
  <w:style w:type="paragraph" w:styleId="3">
    <w:name w:val="Balloon Text"/>
    <w:basedOn w:val="1"/>
    <w:link w:val="16"/>
    <w:qFormat/>
    <w:uiPriority w:val="0"/>
    <w:rPr>
      <w:rFonts w:ascii="Times New Roman" w:hAnsi="Times New Roman" w:eastAsia="宋体" w:cs="Times New Roman"/>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paragraph" w:customStyle="1" w:styleId="11">
    <w:name w:val="w_xw_h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w_xw_p02"/>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页眉 Char"/>
    <w:basedOn w:val="8"/>
    <w:link w:val="5"/>
    <w:qFormat/>
    <w:uiPriority w:val="0"/>
    <w:rPr>
      <w:sz w:val="18"/>
      <w:szCs w:val="18"/>
    </w:rPr>
  </w:style>
  <w:style w:type="character" w:customStyle="1" w:styleId="14">
    <w:name w:val="页脚 Char"/>
    <w:basedOn w:val="8"/>
    <w:link w:val="4"/>
    <w:qFormat/>
    <w:uiPriority w:val="99"/>
    <w:rPr>
      <w:sz w:val="18"/>
      <w:szCs w:val="18"/>
    </w:rPr>
  </w:style>
  <w:style w:type="character" w:customStyle="1" w:styleId="15">
    <w:name w:val="日期 Char"/>
    <w:basedOn w:val="8"/>
    <w:link w:val="2"/>
    <w:semiHidden/>
    <w:qFormat/>
    <w:uiPriority w:val="99"/>
  </w:style>
  <w:style w:type="character" w:customStyle="1" w:styleId="16">
    <w:name w:val="批注框文本 Char"/>
    <w:basedOn w:val="8"/>
    <w:link w:val="3"/>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2050"/>
    <customShpInfo spid="_x0000_s2053"/>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Pages>
  <Words>16082</Words>
  <Characters>19583</Characters>
  <Lines>165</Lines>
  <Paragraphs>46</Paragraphs>
  <TotalTime>0</TotalTime>
  <ScaleCrop>false</ScaleCrop>
  <LinksUpToDate>false</LinksUpToDate>
  <CharactersWithSpaces>19930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2019-04-28T09:37:00Z</dcterms:created>
  <dc:creator>微软用户</dc:creator>
  <cp:lastModifiedBy>Administrator</cp:lastModifiedBy>
  <cp:lastPrinted>2019-04-30T00:59:00Z</cp:lastPrinted>
  <dcterms:modified xsi:type="dcterms:W3CDTF">2019-04-30T01:52:25Z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