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right="-512" w:rightChars="-244"/>
        <w:jc w:val="center"/>
        <w:rPr>
          <w:rFonts w:hint="eastAsia" w:ascii="文星标宋" w:hAnsi="Times New Roman" w:eastAsia="文星标宋" w:cs="Times New Roman"/>
          <w:color w:val="FF0000"/>
          <w:spacing w:val="57"/>
          <w:kern w:val="0"/>
          <w:sz w:val="68"/>
          <w:szCs w:val="68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pacing w:val="57"/>
          <w:kern w:val="0"/>
          <w:sz w:val="68"/>
          <w:szCs w:val="68"/>
        </w:rPr>
        <w:t>临沂市</w:t>
      </w:r>
      <w:r>
        <w:rPr>
          <w:rFonts w:hint="eastAsia" w:ascii="方正小标宋简体" w:hAnsi="方正小标宋简体" w:eastAsia="方正小标宋简体" w:cs="方正小标宋简体"/>
          <w:color w:val="FF0000"/>
          <w:spacing w:val="57"/>
          <w:kern w:val="0"/>
          <w:sz w:val="68"/>
          <w:szCs w:val="68"/>
          <w:lang w:eastAsia="zh-CN"/>
        </w:rPr>
        <w:t>社会科学界联合会</w:t>
      </w:r>
    </w:p>
    <w:p>
      <w:pPr>
        <w:spacing w:line="60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pict>
          <v:line id="_x0000_s1026" o:spid="_x0000_s1026" o:spt="20" style="position:absolute;left:0pt;margin-left:-9pt;margin-top:3.35pt;height:0pt;width:459pt;z-index:251658240;mso-width-relative:page;mso-height-relative:page;" filled="f" stroked="t" coordsize="21600,21600">
            <v:path arrowok="t"/>
            <v:fill on="f" focussize="0,0"/>
            <v:stroke weight="4.5pt" color="#FF0000" linestyle="thickThin"/>
            <v:imagedata o:title=""/>
            <o:lock v:ext="edit"/>
          </v:line>
        </w:pic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关于对2018年度“暂缓结题”课题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进行结项评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审的通知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各县区社科联，市直各有关单位：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经研究，市社科联拟于近日组织专家对2018年度的“暂缓结题”课题进行结项评审，请通知2018年度的“暂缓结题”课题负责人在做好课题修改和完善提升的基础上，及时申报结项。现就有关事宜通知如下：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一、结项鉴定的范围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2018年度的“暂缓结题”课题。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二、报送材料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1、研究成果：修改完善的“暂缓结题”课题研究成果。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2、成果摘要：简述本课题的主要内容、学术价值、社会影响、创新点等，字数控制在1000字左右。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3、结项鉴定评审书：请在临沂社科在线网站（www.ymsk.cn）下载，正反面打印。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4、查重报告：申请人需自行提交权威机构出具的查重报告（可在中国知网、万方数据网、维普网、paperpass网等进行查重），重复率不得超过30%，否则不予受理。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以上材料需同时提供电子版和纸质版（研究成果、成果摘要和查重报告各一份，结项鉴定评审书一式三份），电子版发至市社科联电子信箱</w:t>
      </w:r>
      <w:r>
        <w:rPr>
          <w:rFonts w:hint="eastAsia" w:ascii="仿宋_GB2312" w:eastAsia="仿宋_GB2312"/>
          <w:b/>
          <w:bCs/>
          <w:sz w:val="32"/>
          <w:szCs w:val="32"/>
        </w:rPr>
        <w:t>：</w:t>
      </w:r>
      <w:r>
        <w:rPr>
          <w:rStyle w:val="6"/>
          <w:rFonts w:hint="eastAsia" w:ascii="仿宋_GB2312" w:hAnsi="Verdana" w:eastAsia="仿宋_GB2312"/>
          <w:b w:val="0"/>
          <w:bCs w:val="0"/>
          <w:color w:val="333333"/>
          <w:sz w:val="32"/>
          <w:szCs w:val="32"/>
          <w:shd w:val="clear" w:color="auto" w:fill="FFFFFF"/>
        </w:rPr>
        <w:t>sklxhb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color w:val="333333"/>
          <w:sz w:val="32"/>
          <w:szCs w:val="32"/>
          <w:shd w:val="clear" w:color="auto" w:fill="FFFFFF"/>
        </w:rPr>
        <w:t>@</w:t>
      </w:r>
      <w:r>
        <w:rPr>
          <w:rStyle w:val="6"/>
          <w:rFonts w:hint="eastAsia" w:ascii="仿宋_GB2312" w:hAnsi="Verdana" w:eastAsia="仿宋_GB2312"/>
          <w:b w:val="0"/>
          <w:bCs w:val="0"/>
          <w:color w:val="333333"/>
          <w:sz w:val="32"/>
          <w:szCs w:val="32"/>
          <w:shd w:val="clear" w:color="auto" w:fill="FFFFFF"/>
        </w:rPr>
        <w:t>ly.shandong.cn</w:t>
      </w:r>
      <w:r>
        <w:rPr>
          <w:rFonts w:hint="eastAsia" w:ascii="仿宋_GB2312" w:eastAsia="仿宋_GB2312"/>
          <w:b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三、有关要求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1、请于2019年10月16日前报送相关材料，逾期不再受理。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各县区申报评审的2018年度“暂缓结题”课题由县区社科联集中报送；各高校、党校、职业院校的课题，由所在单位社科（科研）处（室）集中报送；市直中小学校的课题由市教科研中心统一报送，请通知课题承担者提前做好申报工作。因特殊原因不便集中报送的，可单独报送市社科联。市直有关部门的研究课题，可直接报送市社科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3、本次评审仍未通过的2018年度“暂缓结题”课题，将做撤项处理。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4、报送参加评审的成果必须资料翔实，有科学依据、问题分析、对策建议，文字应在6000字以上。课题研究内容与立项课题题目不相符者不予鉴定。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结项鉴定评审工作不收取任何费用。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联系人：韩倩倩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联系电话：8727633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地址：北城新区北京路29号市纪委办公大楼701房间。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center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附件：1、</w:t>
      </w:r>
      <w:r>
        <w:rPr>
          <w:rFonts w:hint="eastAsia" w:ascii="仿宋_GB2312" w:hAnsi="宋体" w:eastAsia="仿宋_GB2312"/>
          <w:sz w:val="32"/>
          <w:szCs w:val="32"/>
        </w:rPr>
        <w:t>2018年度“暂缓结题”课题名单（47项）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center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2、临沂市</w:t>
      </w:r>
      <w:r>
        <w:rPr>
          <w:rFonts w:ascii="仿宋_GB2312" w:eastAsia="仿宋_GB2312"/>
          <w:sz w:val="32"/>
          <w:szCs w:val="32"/>
        </w:rPr>
        <w:t>社会科学研究课题</w:t>
      </w:r>
      <w:r>
        <w:rPr>
          <w:rFonts w:hint="eastAsia" w:ascii="仿宋_GB2312" w:eastAsia="仿宋_GB2312"/>
          <w:sz w:val="32"/>
          <w:szCs w:val="32"/>
        </w:rPr>
        <w:t>结题鉴定评审书（2019</w:t>
      </w:r>
      <w:r>
        <w:rPr>
          <w:rFonts w:ascii="仿宋_GB2312" w:eastAsia="仿宋_GB2312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3680" w:firstLineChars="11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临沂市社会科学界联合会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4480" w:firstLineChars="14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2019年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月25日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ascii="仿宋_GB2312" w:eastAsia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附件1：</w:t>
      </w: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2018年度“暂缓结题”课题（47项）</w:t>
      </w:r>
    </w:p>
    <w:tbl>
      <w:tblPr>
        <w:tblStyle w:val="4"/>
        <w:tblW w:w="14109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8364"/>
        <w:gridCol w:w="992"/>
        <w:gridCol w:w="2820"/>
        <w:gridCol w:w="1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709" w:type="dxa"/>
            <w:vAlign w:val="center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序号</w:t>
            </w:r>
          </w:p>
        </w:tc>
        <w:tc>
          <w:tcPr>
            <w:tcW w:w="8364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课 题 名 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申报人</w:t>
            </w:r>
          </w:p>
        </w:tc>
        <w:tc>
          <w:tcPr>
            <w:tcW w:w="2820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所在单位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01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实施创新驱动发展  促进新旧动能转换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马学军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中共临沭县委党校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02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临沂经济技术开发区新旧动能转换问题研究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王涛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市委党校经开区分校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03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临沂休闲体育与康养产业融合发展研究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张红品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临沂大学体育健康学院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04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发展全域旅游助推临沂乡村振兴战略实施的研究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徐惠芳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临沂市高级财经学校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05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发展地标农产品 助力沂蒙乡村振兴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顾召帅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临沂市农业科学院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06</w:t>
            </w:r>
          </w:p>
        </w:tc>
        <w:tc>
          <w:tcPr>
            <w:tcW w:w="8364" w:type="dxa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沂水县“第一书记”工作研究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杨增高</w:t>
            </w:r>
          </w:p>
        </w:tc>
        <w:tc>
          <w:tcPr>
            <w:tcW w:w="2820" w:type="dxa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沂水县市场监管局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07</w:t>
            </w:r>
          </w:p>
        </w:tc>
        <w:tc>
          <w:tcPr>
            <w:tcW w:w="8364" w:type="dxa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</w:rPr>
              <w:t xml:space="preserve"> 乡村振兴战略视角下我市乡村反腐监督机制研究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李学生</w:t>
            </w:r>
          </w:p>
        </w:tc>
        <w:tc>
          <w:tcPr>
            <w:tcW w:w="2820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</w:rPr>
              <w:t>临沂大学马克思学院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08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临沂历史名人思想研究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齐可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平邑卞桥镇第二初中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09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关于如何建立文明城市创建长效机制的研究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卞丽萍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临沂大学资产管理处</w:t>
            </w:r>
          </w:p>
        </w:tc>
        <w:tc>
          <w:tcPr>
            <w:tcW w:w="1224" w:type="dxa"/>
            <w:vAlign w:val="center"/>
          </w:tcPr>
          <w:p>
            <w:pPr>
              <w:rPr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建立文明创建长效机制问题研究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王鑫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临沂第九实验小学</w:t>
            </w:r>
          </w:p>
        </w:tc>
        <w:tc>
          <w:tcPr>
            <w:tcW w:w="1224" w:type="dxa"/>
            <w:vAlign w:val="center"/>
          </w:tcPr>
          <w:p>
            <w:pPr>
              <w:rPr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11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沂水打造志愿服务品牌研究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毛真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沂水县委党校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12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临沂推进实施精准脱贫中存在的问题及对策建议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庞现青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河东区委党校</w:t>
            </w:r>
          </w:p>
        </w:tc>
        <w:tc>
          <w:tcPr>
            <w:tcW w:w="1224" w:type="dxa"/>
            <w:vAlign w:val="center"/>
          </w:tcPr>
          <w:p>
            <w:pPr>
              <w:rPr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13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临沂推进实施精准脱贫中存在的问题及对策建议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刑洪英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兰山区委党校</w:t>
            </w:r>
          </w:p>
        </w:tc>
        <w:tc>
          <w:tcPr>
            <w:tcW w:w="1224" w:type="dxa"/>
            <w:vAlign w:val="center"/>
          </w:tcPr>
          <w:p>
            <w:pPr>
              <w:rPr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14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政府、市场、社会三元驱动的临沂农村精准脱贫模式研究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邵鹏程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临沂大学费县校区</w:t>
            </w:r>
          </w:p>
        </w:tc>
        <w:tc>
          <w:tcPr>
            <w:tcW w:w="1224" w:type="dxa"/>
            <w:vAlign w:val="center"/>
          </w:tcPr>
          <w:p>
            <w:pPr>
              <w:rPr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15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临沂市农村生活污染现状及对策研究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杨美娟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临沂大学生命科学学院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16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临沭县深化移风易俗工作研究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郭清霞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中共临沭县委党校</w:t>
            </w:r>
          </w:p>
        </w:tc>
        <w:tc>
          <w:tcPr>
            <w:tcW w:w="1224" w:type="dxa"/>
            <w:vAlign w:val="center"/>
          </w:tcPr>
          <w:p>
            <w:pPr>
              <w:rPr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17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临沂丧葬习俗与深化移风易俗中存在的问题研究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孙怀芳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 xml:space="preserve">临沂职业学院 </w:t>
            </w:r>
          </w:p>
        </w:tc>
        <w:tc>
          <w:tcPr>
            <w:tcW w:w="1224" w:type="dxa"/>
            <w:vAlign w:val="center"/>
          </w:tcPr>
          <w:p>
            <w:pPr>
              <w:rPr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18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临沂深化移风易俗工作策略研究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郭子健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临沂大学费县校区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19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“互联网+”时代临沂市新农村生态旅游建设研究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贺凤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临沂大学费县校区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20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 xml:space="preserve">构建具有沂蒙人文情怀的生态型民宿设计的研究 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武晓楠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临沂职业学院</w:t>
            </w:r>
          </w:p>
        </w:tc>
        <w:tc>
          <w:tcPr>
            <w:tcW w:w="1224" w:type="dxa"/>
            <w:vAlign w:val="center"/>
          </w:tcPr>
          <w:p>
            <w:pPr>
              <w:rPr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21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关于深入推进“四好农村路”建设的专题调研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类延军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临沂市交通运输局</w:t>
            </w:r>
          </w:p>
        </w:tc>
        <w:tc>
          <w:tcPr>
            <w:tcW w:w="1224" w:type="dxa"/>
            <w:vAlign w:val="center"/>
          </w:tcPr>
          <w:p>
            <w:pPr>
              <w:rPr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22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临沂改革开放四十周年教育事业发展成就与启示研究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刘红蕾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临沂大学国际教育交流学院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23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高校教学质量工程项目全过程管理的优化研究——以临沂大学教育信息化研究项目为例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高克甫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临沂大学教务处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24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影视制作动画专业人才培养与产业研究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刘东涛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鲁南技师学院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25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中职公共基础课有效提升学生学习兴趣与创新能力研究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尹相修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临沂市农业学校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26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临沂市中职院校教育教学模式改革研究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王东涛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山东交通技师学院</w:t>
            </w:r>
          </w:p>
        </w:tc>
        <w:tc>
          <w:tcPr>
            <w:tcW w:w="1224" w:type="dxa"/>
            <w:vAlign w:val="center"/>
          </w:tcPr>
          <w:p>
            <w:pPr>
              <w:rPr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27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高校《形势与政策》教育教学改革研究——以临沂职业学院为例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高爱国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 xml:space="preserve">临沂职业学院 </w:t>
            </w:r>
          </w:p>
        </w:tc>
        <w:tc>
          <w:tcPr>
            <w:tcW w:w="1224" w:type="dxa"/>
            <w:vAlign w:val="center"/>
          </w:tcPr>
          <w:p>
            <w:pPr>
              <w:rPr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28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立德树人教育体系在高职医学检验专业学生中的实施研究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孙运芳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山东医学高等专科学校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29</w:t>
            </w:r>
          </w:p>
        </w:tc>
        <w:tc>
          <w:tcPr>
            <w:tcW w:w="8364" w:type="dxa"/>
            <w:vAlign w:val="center"/>
          </w:tcPr>
          <w:p>
            <w:r>
              <w:t>城乡结合部小学心理健康教育课程开发研究</w:t>
            </w:r>
          </w:p>
        </w:tc>
        <w:tc>
          <w:tcPr>
            <w:tcW w:w="992" w:type="dxa"/>
            <w:vAlign w:val="center"/>
          </w:tcPr>
          <w:p>
            <w:r>
              <w:t>闫敏</w:t>
            </w:r>
          </w:p>
        </w:tc>
        <w:tc>
          <w:tcPr>
            <w:tcW w:w="2820" w:type="dxa"/>
            <w:vAlign w:val="center"/>
          </w:tcPr>
          <w:p>
            <w:r>
              <w:t>临沂</w:t>
            </w:r>
            <w:r>
              <w:rPr>
                <w:rFonts w:hint="eastAsia"/>
              </w:rPr>
              <w:t>银城</w:t>
            </w:r>
            <w:r>
              <w:t>小学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30</w:t>
            </w:r>
          </w:p>
        </w:tc>
        <w:tc>
          <w:tcPr>
            <w:tcW w:w="8364" w:type="dxa"/>
            <w:vAlign w:val="center"/>
          </w:tcPr>
          <w:p>
            <w:r>
              <w:t>语文“三环六学”自主教学思想研究</w:t>
            </w:r>
          </w:p>
        </w:tc>
        <w:tc>
          <w:tcPr>
            <w:tcW w:w="992" w:type="dxa"/>
            <w:vAlign w:val="center"/>
          </w:tcPr>
          <w:p>
            <w:r>
              <w:t>张玉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临沂武德小学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31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网络对青少年学生身心健康成长的影响及对策性研究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鲁守荣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临沂第二十一中学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32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 xml:space="preserve"> 开放性作业研究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白岩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临沂第二十一中学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33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初中数学大班额环境下小组合作学习的有效性研究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杜娜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临沂第二十中学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34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初中生物课堂生活化教学的实践与探索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张娜娜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临沂第二十中学</w:t>
            </w:r>
          </w:p>
        </w:tc>
        <w:tc>
          <w:tcPr>
            <w:tcW w:w="1224" w:type="dxa"/>
            <w:vAlign w:val="center"/>
          </w:tcPr>
          <w:p>
            <w:pPr>
              <w:rPr>
                <w:bCs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35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小学数学课堂生活化的研究与实践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李汉福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临沂涑河小学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36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教改之树根植区域文化的沃土—东夷文化传承助力校园文化建设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王丽丽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临沂皇山小学</w:t>
            </w:r>
          </w:p>
        </w:tc>
        <w:tc>
          <w:tcPr>
            <w:tcW w:w="122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37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临沂市农村留守儿童成长状况及教育研究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宋玉贞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沂水县第二实验幼儿园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38</w:t>
            </w:r>
          </w:p>
        </w:tc>
        <w:tc>
          <w:tcPr>
            <w:tcW w:w="8364" w:type="dxa"/>
            <w:vAlign w:val="center"/>
          </w:tcPr>
          <w:p>
            <w:r>
              <w:t>中学生科技实践能力提升的研究</w:t>
            </w:r>
          </w:p>
        </w:tc>
        <w:tc>
          <w:tcPr>
            <w:tcW w:w="992" w:type="dxa"/>
            <w:vAlign w:val="center"/>
          </w:tcPr>
          <w:p>
            <w:r>
              <w:t>卢春迎</w:t>
            </w:r>
          </w:p>
        </w:tc>
        <w:tc>
          <w:tcPr>
            <w:tcW w:w="2820" w:type="dxa"/>
            <w:vAlign w:val="center"/>
          </w:tcPr>
          <w:p>
            <w:r>
              <w:t>临沂第三十中学</w:t>
            </w:r>
          </w:p>
        </w:tc>
        <w:tc>
          <w:tcPr>
            <w:tcW w:w="1224" w:type="dxa"/>
            <w:vAlign w:val="center"/>
          </w:tcPr>
          <w:p>
            <w:pPr>
              <w:rPr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39</w:t>
            </w:r>
          </w:p>
        </w:tc>
        <w:tc>
          <w:tcPr>
            <w:tcW w:w="8364" w:type="dxa"/>
            <w:vAlign w:val="center"/>
          </w:tcPr>
          <w:p>
            <w:r>
              <w:t>培养学生生物学科核心素养的教学改革实践研究</w:t>
            </w:r>
          </w:p>
        </w:tc>
        <w:tc>
          <w:tcPr>
            <w:tcW w:w="992" w:type="dxa"/>
            <w:vAlign w:val="center"/>
          </w:tcPr>
          <w:p>
            <w:r>
              <w:t>许贝</w:t>
            </w:r>
          </w:p>
        </w:tc>
        <w:tc>
          <w:tcPr>
            <w:tcW w:w="2820" w:type="dxa"/>
            <w:vAlign w:val="center"/>
          </w:tcPr>
          <w:p>
            <w:r>
              <w:t>临沂第三十中学</w:t>
            </w:r>
          </w:p>
        </w:tc>
        <w:tc>
          <w:tcPr>
            <w:tcW w:w="1224" w:type="dxa"/>
            <w:vAlign w:val="center"/>
          </w:tcPr>
          <w:p>
            <w:pPr>
              <w:rPr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40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巧借绘本阅读提高低段学生语文素养的研究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李慧慧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临沭县第二实验小学</w:t>
            </w:r>
          </w:p>
        </w:tc>
        <w:tc>
          <w:tcPr>
            <w:tcW w:w="1224" w:type="dxa"/>
            <w:vAlign w:val="center"/>
          </w:tcPr>
          <w:p>
            <w:pPr>
              <w:rPr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41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数学教学创设情境研究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李守文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临沭县第二实验小学</w:t>
            </w:r>
          </w:p>
        </w:tc>
        <w:tc>
          <w:tcPr>
            <w:tcW w:w="1224" w:type="dxa"/>
            <w:vAlign w:val="center"/>
          </w:tcPr>
          <w:p>
            <w:pPr>
              <w:rPr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42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合作学习助力高效课堂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凌玲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临沭县第二实验小学</w:t>
            </w:r>
          </w:p>
        </w:tc>
        <w:tc>
          <w:tcPr>
            <w:tcW w:w="1224" w:type="dxa"/>
            <w:vAlign w:val="center"/>
          </w:tcPr>
          <w:p>
            <w:pPr>
              <w:rPr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43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 xml:space="preserve">利用地方特色“不忘初心牢记使命”少队主题教育研究 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杨士伟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临沭县第二实验小学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44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农村小学校本课程之朱村文化的开发与研究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王济美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临沭县曹庄中心小学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45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素质教育背景下小学数学有效课外作业设计和应用的策略研究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王海肖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临沭县石门镇中心小学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46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沂蒙革命文化在小学德育课程中的渗透与延伸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姚烁硕  戚兴菊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费县薛庄镇中心小学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47</w:t>
            </w:r>
          </w:p>
        </w:tc>
        <w:tc>
          <w:tcPr>
            <w:tcW w:w="8364" w:type="dxa"/>
            <w:vAlign w:val="center"/>
          </w:tcPr>
          <w:p>
            <w:r>
              <w:rPr>
                <w:rFonts w:hint="eastAsia"/>
              </w:rPr>
              <w:t>基于反思与写作的教师成长路径研究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黄艳凤</w:t>
            </w:r>
          </w:p>
        </w:tc>
        <w:tc>
          <w:tcPr>
            <w:tcW w:w="2820" w:type="dxa"/>
            <w:vAlign w:val="center"/>
          </w:tcPr>
          <w:p>
            <w:r>
              <w:rPr>
                <w:rFonts w:hint="eastAsia"/>
              </w:rPr>
              <w:t>临沂湖南崖小学</w:t>
            </w:r>
          </w:p>
        </w:tc>
        <w:tc>
          <w:tcPr>
            <w:tcW w:w="1224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color w:val="000000"/>
                <w:shd w:val="clear" w:color="FFFFFF" w:fill="D9D9D9"/>
              </w:rPr>
              <w:t>暂缓结题</w:t>
            </w:r>
          </w:p>
        </w:tc>
      </w:tr>
    </w:tbl>
    <w:p/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  <w:sectPr>
          <w:pgSz w:w="16838" w:h="11906" w:orient="landscape"/>
          <w:pgMar w:top="1474" w:right="1440" w:bottom="1134" w:left="1440" w:header="851" w:footer="992" w:gutter="0"/>
          <w:cols w:space="425" w:num="1"/>
          <w:docGrid w:type="linesAndChars" w:linePitch="312" w:charSpace="0"/>
        </w:sectPr>
      </w:pPr>
    </w:p>
    <w:p>
      <w:pPr>
        <w:ind w:firstLine="442" w:firstLineChars="100"/>
        <w:jc w:val="center"/>
        <w:rPr>
          <w:rFonts w:hint="eastAsia"/>
          <w:b/>
          <w:sz w:val="44"/>
          <w:szCs w:val="44"/>
        </w:rPr>
      </w:pPr>
    </w:p>
    <w:p>
      <w:pPr>
        <w:ind w:firstLine="442" w:firstLineChars="100"/>
        <w:jc w:val="center"/>
        <w:rPr>
          <w:rFonts w:hint="eastAsia"/>
          <w:b/>
          <w:sz w:val="44"/>
          <w:szCs w:val="44"/>
        </w:rPr>
      </w:pPr>
    </w:p>
    <w:p>
      <w:pPr>
        <w:ind w:firstLine="442" w:firstLineChars="100"/>
        <w:jc w:val="center"/>
        <w:rPr>
          <w:rFonts w:hint="eastAsia"/>
          <w:b/>
          <w:sz w:val="44"/>
          <w:szCs w:val="44"/>
        </w:rPr>
      </w:pPr>
    </w:p>
    <w:p>
      <w:pPr>
        <w:ind w:firstLine="442" w:firstLineChars="10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临 沂 市 社 会 科 学 研 究 课 题</w:t>
      </w:r>
    </w:p>
    <w:p>
      <w:pPr>
        <w:jc w:val="center"/>
        <w:rPr>
          <w:b/>
          <w:sz w:val="18"/>
          <w:szCs w:val="18"/>
        </w:rPr>
      </w:pPr>
    </w:p>
    <w:p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结 题 鉴 定 评 审 书</w:t>
      </w:r>
    </w:p>
    <w:p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（2019）</w:t>
      </w:r>
    </w:p>
    <w:p>
      <w:pPr>
        <w:rPr>
          <w:sz w:val="48"/>
          <w:szCs w:val="48"/>
        </w:rPr>
      </w:pPr>
    </w:p>
    <w:p>
      <w:pPr>
        <w:rPr>
          <w:sz w:val="48"/>
          <w:szCs w:val="48"/>
        </w:rPr>
      </w:pPr>
    </w:p>
    <w:p>
      <w:pPr>
        <w:rPr>
          <w:sz w:val="48"/>
          <w:szCs w:val="48"/>
        </w:rPr>
      </w:pPr>
    </w:p>
    <w:p>
      <w:pPr>
        <w:rPr>
          <w:sz w:val="48"/>
          <w:szCs w:val="48"/>
        </w:rPr>
      </w:pPr>
    </w:p>
    <w:p>
      <w:pPr>
        <w:ind w:firstLine="800" w:firstLineChars="250"/>
        <w:rPr>
          <w:sz w:val="13"/>
          <w:szCs w:val="13"/>
          <w:u w:val="single"/>
        </w:rPr>
      </w:pPr>
      <w:r>
        <w:rPr>
          <w:rFonts w:hint="eastAsia"/>
          <w:sz w:val="32"/>
          <w:szCs w:val="32"/>
        </w:rPr>
        <w:t xml:space="preserve">课  题 名 称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u w:val="single"/>
        </w:rPr>
        <w:t xml:space="preserve">                             </w:t>
      </w:r>
      <w:r>
        <w:rPr>
          <w:rFonts w:hint="eastAsia"/>
          <w:sz w:val="13"/>
          <w:szCs w:val="13"/>
          <w:u w:val="single"/>
        </w:rPr>
        <w:t xml:space="preserve"> </w:t>
      </w:r>
    </w:p>
    <w:p>
      <w:pPr>
        <w:ind w:firstLine="800" w:firstLineChars="250"/>
        <w:rPr>
          <w:sz w:val="13"/>
          <w:szCs w:val="13"/>
        </w:rPr>
      </w:pPr>
      <w:r>
        <w:rPr>
          <w:rFonts w:hint="eastAsia"/>
          <w:sz w:val="32"/>
          <w:szCs w:val="32"/>
        </w:rPr>
        <w:t xml:space="preserve">课  题 类 别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u w:val="single"/>
        </w:rPr>
        <w:t xml:space="preserve">                             </w:t>
      </w:r>
    </w:p>
    <w:p>
      <w:pPr>
        <w:ind w:firstLine="800" w:firstLineChars="25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立  项 编 号  </w:t>
      </w:r>
      <w:r>
        <w:rPr>
          <w:rFonts w:hint="eastAsia"/>
          <w:sz w:val="32"/>
          <w:szCs w:val="32"/>
          <w:u w:val="single"/>
        </w:rPr>
        <w:t xml:space="preserve">                      </w:t>
      </w:r>
    </w:p>
    <w:p>
      <w:pPr>
        <w:ind w:firstLine="784" w:firstLineChars="200"/>
        <w:rPr>
          <w:spacing w:val="36"/>
          <w:sz w:val="13"/>
          <w:szCs w:val="13"/>
        </w:rPr>
      </w:pPr>
      <w:r>
        <w:rPr>
          <w:rFonts w:hint="eastAsia"/>
          <w:spacing w:val="36"/>
          <w:sz w:val="32"/>
          <w:szCs w:val="32"/>
        </w:rPr>
        <w:t xml:space="preserve">课题负责人 </w:t>
      </w:r>
      <w:r>
        <w:rPr>
          <w:rFonts w:hint="eastAsia"/>
          <w:spacing w:val="36"/>
          <w:sz w:val="32"/>
          <w:szCs w:val="32"/>
          <w:u w:val="single"/>
        </w:rPr>
        <w:t xml:space="preserve">               </w:t>
      </w:r>
      <w:r>
        <w:rPr>
          <w:rFonts w:hint="eastAsia"/>
          <w:spacing w:val="36"/>
          <w:sz w:val="13"/>
          <w:szCs w:val="13"/>
          <w:u w:val="single"/>
        </w:rPr>
        <w:t xml:space="preserve"> </w:t>
      </w:r>
    </w:p>
    <w:p>
      <w:pPr>
        <w:ind w:firstLine="784" w:firstLineChars="200"/>
        <w:rPr>
          <w:spacing w:val="36"/>
          <w:sz w:val="18"/>
          <w:szCs w:val="18"/>
          <w:u w:val="single"/>
        </w:rPr>
      </w:pPr>
      <w:r>
        <w:rPr>
          <w:rFonts w:hint="eastAsia"/>
          <w:spacing w:val="36"/>
          <w:sz w:val="32"/>
          <w:szCs w:val="32"/>
        </w:rPr>
        <w:t xml:space="preserve">课题组成员 </w:t>
      </w:r>
      <w:r>
        <w:rPr>
          <w:rFonts w:hint="eastAsia"/>
          <w:spacing w:val="36"/>
          <w:sz w:val="32"/>
          <w:szCs w:val="32"/>
          <w:u w:val="single"/>
        </w:rPr>
        <w:t xml:space="preserve">               </w:t>
      </w:r>
      <w:r>
        <w:rPr>
          <w:rFonts w:hint="eastAsia"/>
          <w:spacing w:val="36"/>
          <w:sz w:val="18"/>
          <w:szCs w:val="18"/>
          <w:u w:val="single"/>
        </w:rPr>
        <w:t xml:space="preserve"> </w:t>
      </w:r>
    </w:p>
    <w:p>
      <w:pPr>
        <w:ind w:firstLine="800" w:firstLineChars="25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课题完成单位  </w:t>
      </w:r>
      <w:r>
        <w:rPr>
          <w:rFonts w:hint="eastAsia"/>
          <w:sz w:val="32"/>
          <w:szCs w:val="32"/>
          <w:u w:val="single"/>
        </w:rPr>
        <w:t xml:space="preserve">                      </w:t>
      </w:r>
    </w:p>
    <w:p>
      <w:pPr>
        <w:ind w:firstLine="800" w:firstLineChars="25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课题起止时间  </w:t>
      </w:r>
      <w:r>
        <w:rPr>
          <w:rFonts w:hint="eastAsia"/>
          <w:sz w:val="32"/>
          <w:szCs w:val="32"/>
          <w:u w:val="single"/>
        </w:rPr>
        <w:t xml:space="preserve">                      </w:t>
      </w:r>
    </w:p>
    <w:p>
      <w:pPr>
        <w:ind w:firstLine="800" w:firstLineChars="25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最终成果形式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                     </w:t>
      </w:r>
    </w:p>
    <w:p>
      <w:pPr>
        <w:ind w:firstLine="1120" w:firstLineChars="400"/>
        <w:rPr>
          <w:sz w:val="28"/>
          <w:szCs w:val="28"/>
        </w:rPr>
      </w:pPr>
    </w:p>
    <w:p>
      <w:pPr>
        <w:ind w:firstLine="1120" w:firstLineChars="400"/>
        <w:rPr>
          <w:sz w:val="28"/>
          <w:szCs w:val="28"/>
        </w:rPr>
      </w:pPr>
    </w:p>
    <w:p>
      <w:pPr>
        <w:ind w:firstLine="1280" w:firstLineChars="40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临沂市社会科学界联合会</w:t>
      </w:r>
    </w:p>
    <w:p>
      <w:pPr>
        <w:ind w:firstLine="1232" w:firstLineChars="400"/>
        <w:jc w:val="center"/>
        <w:rPr>
          <w:spacing w:val="-6"/>
          <w:sz w:val="32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7" w:h="16840"/>
          <w:pgMar w:top="1440" w:right="1588" w:bottom="1440" w:left="1588" w:header="851" w:footer="992" w:gutter="0"/>
          <w:cols w:space="425" w:num="1"/>
          <w:titlePg/>
          <w:docGrid w:type="lines" w:linePitch="312" w:charSpace="0"/>
        </w:sectPr>
      </w:pPr>
    </w:p>
    <w:tbl>
      <w:tblPr>
        <w:tblStyle w:val="4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4"/>
        <w:gridCol w:w="7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8" w:type="dxa"/>
            <w:gridSpan w:val="2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课题研究主要成果简介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0" w:hRule="atLeast"/>
        </w:trPr>
        <w:tc>
          <w:tcPr>
            <w:tcW w:w="8758" w:type="dxa"/>
            <w:gridSpan w:val="2"/>
          </w:tcPr>
          <w:p>
            <w:pPr>
              <w:spacing w:line="360" w:lineRule="auto"/>
              <w:ind w:firstLine="480" w:firstLineChars="200"/>
              <w:rPr>
                <w:rFonts w:ascii="宋体" w:hAnsi="宋体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604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联系方式</w:t>
            </w:r>
          </w:p>
        </w:tc>
        <w:tc>
          <w:tcPr>
            <w:tcW w:w="7154" w:type="dxa"/>
          </w:tcPr>
          <w:p>
            <w:pPr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758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课题完成单位结题意见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</w:trPr>
        <w:tc>
          <w:tcPr>
            <w:tcW w:w="8758" w:type="dxa"/>
            <w:gridSpan w:val="2"/>
          </w:tcPr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  <w:p>
            <w:pPr>
              <w:ind w:firstLine="5520" w:firstLineChars="230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单位（盖章）</w:t>
            </w:r>
          </w:p>
          <w:p>
            <w:pPr>
              <w:ind w:firstLine="5520" w:firstLineChars="2300"/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                                               年   月   日</w:t>
            </w:r>
          </w:p>
        </w:tc>
      </w:tr>
    </w:tbl>
    <w:p>
      <w:pPr>
        <w:rPr>
          <w:sz w:val="24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市课题鉴定专家组意见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6" w:hRule="atLeast"/>
        </w:trPr>
        <w:tc>
          <w:tcPr>
            <w:tcW w:w="8522" w:type="dxa"/>
          </w:tcPr>
          <w:p>
            <w:pPr>
              <w:ind w:firstLine="640" w:firstLineChars="200"/>
              <w:rPr>
                <w:kern w:val="0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>
            <w:pPr>
              <w:rPr>
                <w:kern w:val="0"/>
                <w:sz w:val="32"/>
                <w:szCs w:val="32"/>
              </w:rPr>
            </w:pPr>
          </w:p>
          <w:p>
            <w:pPr>
              <w:rPr>
                <w:kern w:val="0"/>
                <w:sz w:val="32"/>
                <w:szCs w:val="32"/>
              </w:rPr>
            </w:pPr>
          </w:p>
          <w:p>
            <w:pPr>
              <w:rPr>
                <w:kern w:val="0"/>
                <w:sz w:val="32"/>
                <w:szCs w:val="32"/>
              </w:rPr>
            </w:pPr>
          </w:p>
          <w:p>
            <w:pPr>
              <w:rPr>
                <w:kern w:val="0"/>
                <w:sz w:val="32"/>
                <w:szCs w:val="32"/>
              </w:rPr>
            </w:pPr>
          </w:p>
          <w:p>
            <w:pPr>
              <w:rPr>
                <w:kern w:val="0"/>
                <w:sz w:val="32"/>
                <w:szCs w:val="32"/>
              </w:rPr>
            </w:pPr>
          </w:p>
          <w:p>
            <w:pPr>
              <w:rPr>
                <w:kern w:val="0"/>
                <w:sz w:val="32"/>
                <w:szCs w:val="32"/>
              </w:rPr>
            </w:pPr>
          </w:p>
          <w:p>
            <w:pPr>
              <w:rPr>
                <w:kern w:val="0"/>
                <w:sz w:val="32"/>
                <w:szCs w:val="32"/>
              </w:rPr>
            </w:pPr>
          </w:p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32"/>
                <w:szCs w:val="32"/>
              </w:rPr>
              <w:t xml:space="preserve">                            </w:t>
            </w:r>
            <w:r>
              <w:rPr>
                <w:rFonts w:hint="eastAsia"/>
                <w:kern w:val="0"/>
                <w:sz w:val="24"/>
              </w:rPr>
              <w:t xml:space="preserve">           </w:t>
            </w:r>
          </w:p>
          <w:p>
            <w:pPr>
              <w:rPr>
                <w:kern w:val="0"/>
                <w:sz w:val="24"/>
              </w:rPr>
            </w:pPr>
          </w:p>
          <w:p>
            <w:pPr>
              <w:ind w:firstLine="5040" w:firstLineChars="210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鉴定组组长（签字）</w:t>
            </w:r>
          </w:p>
          <w:p>
            <w:pPr>
              <w:rPr>
                <w:kern w:val="0"/>
                <w:sz w:val="24"/>
              </w:rPr>
            </w:pPr>
          </w:p>
          <w:p>
            <w:pPr>
              <w:ind w:firstLine="5880" w:firstLineChars="245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年  月</w:t>
            </w:r>
          </w:p>
          <w:p>
            <w:pPr>
              <w:rPr>
                <w:kern w:val="0"/>
                <w:sz w:val="24"/>
              </w:rPr>
            </w:pPr>
          </w:p>
        </w:tc>
      </w:tr>
    </w:tbl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         </w:t>
      </w:r>
    </w:p>
    <w:tbl>
      <w:tblPr>
        <w:tblStyle w:val="4"/>
        <w:tblW w:w="955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409"/>
        <w:gridCol w:w="3745"/>
        <w:gridCol w:w="2395"/>
        <w:gridCol w:w="1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558" w:type="dxa"/>
            <w:gridSpan w:val="5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课题鉴定情况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35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课题完成时间</w:t>
            </w:r>
          </w:p>
        </w:tc>
        <w:tc>
          <w:tcPr>
            <w:tcW w:w="3745" w:type="dxa"/>
          </w:tcPr>
          <w:p/>
        </w:tc>
        <w:tc>
          <w:tcPr>
            <w:tcW w:w="2395" w:type="dxa"/>
          </w:tcPr>
          <w:p>
            <w:pPr>
              <w:jc w:val="center"/>
            </w:pPr>
            <w:r>
              <w:rPr>
                <w:rFonts w:hint="eastAsia"/>
              </w:rPr>
              <w:t>通过鉴定日期</w:t>
            </w:r>
          </w:p>
        </w:tc>
        <w:tc>
          <w:tcPr>
            <w:tcW w:w="158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35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课题鉴定方式</w:t>
            </w:r>
          </w:p>
        </w:tc>
        <w:tc>
          <w:tcPr>
            <w:tcW w:w="3745" w:type="dxa"/>
          </w:tcPr>
          <w:p/>
        </w:tc>
        <w:tc>
          <w:tcPr>
            <w:tcW w:w="2395" w:type="dxa"/>
          </w:tcPr>
          <w:p>
            <w:pPr>
              <w:jc w:val="center"/>
            </w:pPr>
            <w:r>
              <w:rPr>
                <w:rFonts w:hint="eastAsia"/>
              </w:rPr>
              <w:t>鉴定组人数</w:t>
            </w:r>
          </w:p>
        </w:tc>
        <w:tc>
          <w:tcPr>
            <w:tcW w:w="158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426" w:type="dxa"/>
            <w:vMerge w:val="restart"/>
          </w:tcPr>
          <w:p/>
          <w:p/>
          <w:p>
            <w:r>
              <w:rPr>
                <w:rFonts w:hint="eastAsia"/>
              </w:rPr>
              <w:t>鉴定组成员名单</w:t>
            </w:r>
          </w:p>
        </w:tc>
        <w:tc>
          <w:tcPr>
            <w:tcW w:w="1409" w:type="dxa"/>
          </w:tcPr>
          <w:p>
            <w:pPr>
              <w:jc w:val="center"/>
            </w:pPr>
            <w:r>
              <w:rPr>
                <w:rFonts w:hint="eastAsia"/>
              </w:rPr>
              <w:t>姓     名</w:t>
            </w:r>
          </w:p>
        </w:tc>
        <w:tc>
          <w:tcPr>
            <w:tcW w:w="3745" w:type="dxa"/>
          </w:tcPr>
          <w:p>
            <w:pPr>
              <w:jc w:val="center"/>
            </w:pPr>
            <w:r>
              <w:rPr>
                <w:rFonts w:hint="eastAsia"/>
              </w:rPr>
              <w:t>工  作  单  位</w:t>
            </w:r>
          </w:p>
        </w:tc>
        <w:tc>
          <w:tcPr>
            <w:tcW w:w="2395" w:type="dxa"/>
          </w:tcPr>
          <w:p>
            <w:pPr>
              <w:jc w:val="center"/>
            </w:pPr>
            <w:r>
              <w:rPr>
                <w:rFonts w:hint="eastAsia"/>
              </w:rPr>
              <w:t>职  务  职  称</w:t>
            </w:r>
          </w:p>
        </w:tc>
        <w:tc>
          <w:tcPr>
            <w:tcW w:w="1583" w:type="dxa"/>
          </w:tcPr>
          <w:p>
            <w:pPr>
              <w:jc w:val="center"/>
            </w:pPr>
            <w:r>
              <w:rPr>
                <w:rFonts w:hint="eastAsia"/>
              </w:rPr>
              <w:t>个 人 签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426" w:type="dxa"/>
            <w:vMerge w:val="continue"/>
          </w:tcPr>
          <w:p/>
        </w:tc>
        <w:tc>
          <w:tcPr>
            <w:tcW w:w="1409" w:type="dxa"/>
          </w:tcPr>
          <w:p/>
        </w:tc>
        <w:tc>
          <w:tcPr>
            <w:tcW w:w="3745" w:type="dxa"/>
          </w:tcPr>
          <w:p/>
        </w:tc>
        <w:tc>
          <w:tcPr>
            <w:tcW w:w="2395" w:type="dxa"/>
          </w:tcPr>
          <w:p/>
        </w:tc>
        <w:tc>
          <w:tcPr>
            <w:tcW w:w="158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426" w:type="dxa"/>
            <w:vMerge w:val="continue"/>
          </w:tcPr>
          <w:p/>
        </w:tc>
        <w:tc>
          <w:tcPr>
            <w:tcW w:w="1409" w:type="dxa"/>
          </w:tcPr>
          <w:p/>
        </w:tc>
        <w:tc>
          <w:tcPr>
            <w:tcW w:w="3745" w:type="dxa"/>
          </w:tcPr>
          <w:p/>
        </w:tc>
        <w:tc>
          <w:tcPr>
            <w:tcW w:w="2395" w:type="dxa"/>
          </w:tcPr>
          <w:p/>
        </w:tc>
        <w:tc>
          <w:tcPr>
            <w:tcW w:w="158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26" w:type="dxa"/>
            <w:vMerge w:val="continue"/>
          </w:tcPr>
          <w:p/>
        </w:tc>
        <w:tc>
          <w:tcPr>
            <w:tcW w:w="1409" w:type="dxa"/>
          </w:tcPr>
          <w:p/>
        </w:tc>
        <w:tc>
          <w:tcPr>
            <w:tcW w:w="3745" w:type="dxa"/>
          </w:tcPr>
          <w:p/>
        </w:tc>
        <w:tc>
          <w:tcPr>
            <w:tcW w:w="2395" w:type="dxa"/>
          </w:tcPr>
          <w:p/>
        </w:tc>
        <w:tc>
          <w:tcPr>
            <w:tcW w:w="158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26" w:type="dxa"/>
            <w:vMerge w:val="continue"/>
          </w:tcPr>
          <w:p/>
        </w:tc>
        <w:tc>
          <w:tcPr>
            <w:tcW w:w="1409" w:type="dxa"/>
          </w:tcPr>
          <w:p/>
        </w:tc>
        <w:tc>
          <w:tcPr>
            <w:tcW w:w="3745" w:type="dxa"/>
          </w:tcPr>
          <w:p/>
        </w:tc>
        <w:tc>
          <w:tcPr>
            <w:tcW w:w="2395" w:type="dxa"/>
          </w:tcPr>
          <w:p/>
        </w:tc>
        <w:tc>
          <w:tcPr>
            <w:tcW w:w="158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26" w:type="dxa"/>
            <w:vMerge w:val="continue"/>
          </w:tcPr>
          <w:p/>
        </w:tc>
        <w:tc>
          <w:tcPr>
            <w:tcW w:w="1409" w:type="dxa"/>
          </w:tcPr>
          <w:p/>
        </w:tc>
        <w:tc>
          <w:tcPr>
            <w:tcW w:w="3745" w:type="dxa"/>
          </w:tcPr>
          <w:p/>
        </w:tc>
        <w:tc>
          <w:tcPr>
            <w:tcW w:w="2395" w:type="dxa"/>
          </w:tcPr>
          <w:p/>
        </w:tc>
        <w:tc>
          <w:tcPr>
            <w:tcW w:w="158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26" w:type="dxa"/>
            <w:vMerge w:val="continue"/>
          </w:tcPr>
          <w:p/>
        </w:tc>
        <w:tc>
          <w:tcPr>
            <w:tcW w:w="1409" w:type="dxa"/>
          </w:tcPr>
          <w:p/>
        </w:tc>
        <w:tc>
          <w:tcPr>
            <w:tcW w:w="3745" w:type="dxa"/>
          </w:tcPr>
          <w:p/>
        </w:tc>
        <w:tc>
          <w:tcPr>
            <w:tcW w:w="2395" w:type="dxa"/>
          </w:tcPr>
          <w:p/>
        </w:tc>
        <w:tc>
          <w:tcPr>
            <w:tcW w:w="158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26" w:type="dxa"/>
            <w:vMerge w:val="continue"/>
          </w:tcPr>
          <w:p/>
        </w:tc>
        <w:tc>
          <w:tcPr>
            <w:tcW w:w="1409" w:type="dxa"/>
          </w:tcPr>
          <w:p/>
        </w:tc>
        <w:tc>
          <w:tcPr>
            <w:tcW w:w="3745" w:type="dxa"/>
          </w:tcPr>
          <w:p/>
        </w:tc>
        <w:tc>
          <w:tcPr>
            <w:tcW w:w="2395" w:type="dxa"/>
          </w:tcPr>
          <w:p/>
        </w:tc>
        <w:tc>
          <w:tcPr>
            <w:tcW w:w="158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26" w:type="dxa"/>
            <w:vMerge w:val="continue"/>
          </w:tcPr>
          <w:p/>
        </w:tc>
        <w:tc>
          <w:tcPr>
            <w:tcW w:w="1409" w:type="dxa"/>
          </w:tcPr>
          <w:p/>
        </w:tc>
        <w:tc>
          <w:tcPr>
            <w:tcW w:w="3745" w:type="dxa"/>
          </w:tcPr>
          <w:p/>
        </w:tc>
        <w:tc>
          <w:tcPr>
            <w:tcW w:w="2395" w:type="dxa"/>
          </w:tcPr>
          <w:p/>
        </w:tc>
        <w:tc>
          <w:tcPr>
            <w:tcW w:w="158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26" w:type="dxa"/>
            <w:vMerge w:val="continue"/>
          </w:tcPr>
          <w:p/>
        </w:tc>
        <w:tc>
          <w:tcPr>
            <w:tcW w:w="1409" w:type="dxa"/>
          </w:tcPr>
          <w:p/>
        </w:tc>
        <w:tc>
          <w:tcPr>
            <w:tcW w:w="3745" w:type="dxa"/>
          </w:tcPr>
          <w:p/>
        </w:tc>
        <w:tc>
          <w:tcPr>
            <w:tcW w:w="2395" w:type="dxa"/>
          </w:tcPr>
          <w:p/>
        </w:tc>
        <w:tc>
          <w:tcPr>
            <w:tcW w:w="158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26" w:type="dxa"/>
            <w:vMerge w:val="continue"/>
          </w:tcPr>
          <w:p/>
        </w:tc>
        <w:tc>
          <w:tcPr>
            <w:tcW w:w="1409" w:type="dxa"/>
          </w:tcPr>
          <w:p/>
        </w:tc>
        <w:tc>
          <w:tcPr>
            <w:tcW w:w="3745" w:type="dxa"/>
          </w:tcPr>
          <w:p/>
        </w:tc>
        <w:tc>
          <w:tcPr>
            <w:tcW w:w="2395" w:type="dxa"/>
          </w:tcPr>
          <w:p/>
        </w:tc>
        <w:tc>
          <w:tcPr>
            <w:tcW w:w="158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9558" w:type="dxa"/>
            <w:gridSpan w:val="5"/>
          </w:tcPr>
          <w:p>
            <w:pPr>
              <w:jc w:val="center"/>
            </w:pPr>
            <w:r>
              <w:rPr>
                <w:rFonts w:hint="eastAsia"/>
              </w:rPr>
              <w:t>临 沂 市 社 会 科 学 界 联 合 会 终 审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7" w:hRule="atLeast"/>
        </w:trPr>
        <w:tc>
          <w:tcPr>
            <w:tcW w:w="9558" w:type="dxa"/>
            <w:gridSpan w:val="5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6480" w:firstLineChars="2700"/>
              <w:rPr>
                <w:sz w:val="24"/>
              </w:rPr>
            </w:pPr>
          </w:p>
          <w:p>
            <w:pPr>
              <w:ind w:firstLine="6480" w:firstLineChars="2700"/>
              <w:rPr>
                <w:sz w:val="24"/>
              </w:rPr>
            </w:pPr>
          </w:p>
          <w:p>
            <w:pPr>
              <w:ind w:firstLine="6480" w:firstLineChars="2700"/>
              <w:rPr>
                <w:sz w:val="24"/>
              </w:rPr>
            </w:pPr>
          </w:p>
          <w:p>
            <w:pPr>
              <w:ind w:firstLine="6480" w:firstLineChars="2700"/>
              <w:rPr>
                <w:sz w:val="24"/>
              </w:rPr>
            </w:pPr>
            <w:r>
              <w:rPr>
                <w:rFonts w:hint="eastAsia"/>
                <w:sz w:val="24"/>
              </w:rPr>
              <w:t>单位 （盖章）</w:t>
            </w:r>
          </w:p>
          <w:p>
            <w:pPr>
              <w:ind w:firstLine="6480" w:firstLineChars="2700"/>
              <w:rPr>
                <w:sz w:val="24"/>
              </w:rPr>
            </w:pPr>
          </w:p>
          <w:p>
            <w:pPr>
              <w:ind w:firstLine="6600" w:firstLineChars="2750"/>
              <w:rPr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  <w:p>
            <w:pPr>
              <w:ind w:firstLine="6600" w:firstLineChars="275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9558" w:type="dxa"/>
            <w:gridSpan w:val="5"/>
          </w:tcPr>
          <w:p>
            <w:r>
              <w:rPr>
                <w:rFonts w:hint="eastAsia"/>
              </w:rPr>
              <w:t xml:space="preserve">1、评审书用钢笔填写或用电脑打印，一式三份，通过鉴定后，市、单位、课题组各存一份。     </w:t>
            </w:r>
          </w:p>
          <w:p>
            <w:r>
              <w:rPr>
                <w:rFonts w:hint="eastAsia"/>
              </w:rPr>
              <w:t xml:space="preserve">2、评审书可以打印或复印，但签字、盖章后不能打印或复印。                                             </w:t>
            </w:r>
          </w:p>
          <w:p>
            <w:r>
              <w:rPr>
                <w:rFonts w:hint="eastAsia"/>
              </w:rPr>
              <w:t>3、评审书封面编号不填写。通过鉴定后由市社科联统一填写。</w:t>
            </w: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注：结题鉴定评审书须正反面打印。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7" w:h="16840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6</w:t>
    </w:r>
    <w:r>
      <w:rPr>
        <w:rStyle w:val="7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71B2"/>
    <w:rsid w:val="00041A9C"/>
    <w:rsid w:val="00311525"/>
    <w:rsid w:val="004C2266"/>
    <w:rsid w:val="00680D51"/>
    <w:rsid w:val="007F280E"/>
    <w:rsid w:val="009170FA"/>
    <w:rsid w:val="00923CBD"/>
    <w:rsid w:val="00A91A35"/>
    <w:rsid w:val="00AC767B"/>
    <w:rsid w:val="00AE4B7A"/>
    <w:rsid w:val="00C212F9"/>
    <w:rsid w:val="00CB1C6E"/>
    <w:rsid w:val="00CC5068"/>
    <w:rsid w:val="00D071B2"/>
    <w:rsid w:val="00E4002B"/>
    <w:rsid w:val="00F13456"/>
    <w:rsid w:val="00F40F18"/>
    <w:rsid w:val="626D4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page number"/>
    <w:basedOn w:val="5"/>
    <w:uiPriority w:val="0"/>
  </w:style>
  <w:style w:type="character" w:customStyle="1" w:styleId="8">
    <w:name w:val="页眉 Char"/>
    <w:basedOn w:val="5"/>
    <w:link w:val="3"/>
    <w:qFormat/>
    <w:uiPriority w:val="0"/>
    <w:rPr>
      <w:sz w:val="18"/>
      <w:szCs w:val="18"/>
    </w:rPr>
  </w:style>
  <w:style w:type="character" w:customStyle="1" w:styleId="9">
    <w:name w:val="页脚 Char"/>
    <w:basedOn w:val="5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578</Words>
  <Characters>3301</Characters>
  <Lines>27</Lines>
  <Paragraphs>7</Paragraphs>
  <TotalTime>3</TotalTime>
  <ScaleCrop>false</ScaleCrop>
  <LinksUpToDate>false</LinksUpToDate>
  <CharactersWithSpaces>3872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2019-09-25T04:07:00Z</dcterms:created>
  <dc:creator>微软用户</dc:creator>
  <cp:lastModifiedBy>Administrator</cp:lastModifiedBy>
  <dcterms:modified xsi:type="dcterms:W3CDTF">2019-09-26T08:47:13Z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