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left="-199" w:leftChars="-95" w:right="-313" w:rightChars="-149" w:firstLine="0" w:firstLineChars="0"/>
        <w:jc w:val="center"/>
        <w:rPr>
          <w:rFonts w:hint="eastAsia" w:ascii="文星标宋" w:hAnsi="Times New Roman" w:eastAsia="文星标宋" w:cs="Times New Roman"/>
          <w:color w:val="FF0000"/>
          <w:spacing w:val="57"/>
          <w:kern w:val="0"/>
          <w:sz w:val="68"/>
          <w:szCs w:val="68"/>
        </w:rPr>
      </w:pPr>
      <w:r>
        <w:rPr>
          <w:rFonts w:hint="eastAsia" w:ascii="方正小标宋简体" w:hAnsi="方正小标宋简体" w:eastAsia="方正小标宋简体" w:cs="方正小标宋简体"/>
          <w:color w:val="FF0000"/>
          <w:spacing w:val="57"/>
          <w:kern w:val="0"/>
          <w:sz w:val="68"/>
          <w:szCs w:val="68"/>
        </w:rPr>
        <w:t>临沂市</w:t>
      </w:r>
      <w:r>
        <w:rPr>
          <w:rFonts w:hint="eastAsia" w:ascii="方正小标宋简体" w:hAnsi="方正小标宋简体" w:eastAsia="方正小标宋简体" w:cs="方正小标宋简体"/>
          <w:color w:val="FF0000"/>
          <w:spacing w:val="57"/>
          <w:kern w:val="0"/>
          <w:sz w:val="68"/>
          <w:szCs w:val="68"/>
          <w:lang w:eastAsia="zh-CN"/>
        </w:rPr>
        <w:t>社会科学界联合会</w:t>
      </w:r>
    </w:p>
    <w:p>
      <w:pPr>
        <w:spacing w:line="600" w:lineRule="exac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pict>
          <v:line id="_x0000_s1026" o:spid="_x0000_s1026" o:spt="20" style="position:absolute;left:0pt;flip:y;margin-left:-9.85pt;margin-top:1.7pt;height:1.65pt;width:439.65pt;z-index:251658240;mso-width-relative:page;mso-height-relative:page;" filled="f" stroked="t" coordsize="21600,21600">
            <v:path arrowok="t"/>
            <v:fill on="f" focussize="0,0"/>
            <v:stroke weight="4.5pt" color="#FF0000" linestyle="thickThin"/>
            <v:imagedata o:title=""/>
            <o:lock v:ext="edit" aspectratio="f"/>
          </v:line>
        </w:pic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关于对2019年度“资助课题”</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进行中期评审的通知</w:t>
      </w:r>
    </w:p>
    <w:p>
      <w:pPr>
        <w:spacing w:line="560" w:lineRule="exact"/>
        <w:rPr>
          <w:rFonts w:ascii="仿宋_GB2312" w:eastAsia="仿宋_GB2312"/>
          <w:sz w:val="32"/>
          <w:szCs w:val="32"/>
        </w:rPr>
      </w:pPr>
    </w:p>
    <w:p>
      <w:pPr>
        <w:spacing w:line="560" w:lineRule="exact"/>
        <w:rPr>
          <w:rFonts w:ascii="仿宋_GB2312" w:eastAsia="仿宋_GB2312"/>
          <w:sz w:val="32"/>
          <w:szCs w:val="32"/>
        </w:rPr>
      </w:pPr>
      <w:r>
        <w:rPr>
          <w:rFonts w:hint="eastAsia" w:ascii="仿宋_GB2312" w:eastAsia="仿宋_GB2312"/>
          <w:sz w:val="32"/>
          <w:szCs w:val="32"/>
        </w:rPr>
        <w:t>各有关单位：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为加强对今年评出的重点“资助课题”的管理，督促重点“资助课题”承担者深入调查研究，尽快形成有价值、有影响的对策应用性成果，经研究，市社科联拟于近日组织专家对2019年度的重点“资助课题”进行中期评审，评审认为不符合要求的，将取消资助资格。请通知本人于10月16日前将纸质版报送市社科</w:t>
      </w:r>
      <w:bookmarkStart w:id="0" w:name="_GoBack"/>
      <w:bookmarkEnd w:id="0"/>
      <w:r>
        <w:rPr>
          <w:rFonts w:hint="eastAsia" w:ascii="仿宋_GB2312" w:eastAsia="仿宋_GB2312"/>
          <w:sz w:val="32"/>
          <w:szCs w:val="32"/>
        </w:rPr>
        <w:t>联（北城新区北京路29号市纪委办公大楼701房间），</w:t>
      </w:r>
      <w:r>
        <w:rPr>
          <w:color w:val="auto"/>
        </w:rPr>
        <w:fldChar w:fldCharType="begin"/>
      </w:r>
      <w:r>
        <w:rPr>
          <w:color w:val="auto"/>
        </w:rPr>
        <w:instrText xml:space="preserve">HYPERLINK "mailto:电子版发送邮箱sklxhb@ly.shandong.cn"</w:instrText>
      </w:r>
      <w:r>
        <w:rPr>
          <w:color w:val="auto"/>
        </w:rPr>
        <w:fldChar w:fldCharType="separate"/>
      </w:r>
      <w:r>
        <w:rPr>
          <w:rStyle w:val="9"/>
          <w:rFonts w:hint="eastAsia" w:ascii="仿宋_GB2312" w:eastAsia="仿宋_GB2312"/>
          <w:color w:val="auto"/>
          <w:sz w:val="32"/>
          <w:szCs w:val="32"/>
          <w:u w:val="none"/>
        </w:rPr>
        <w:t>电子版发送邮箱</w:t>
      </w:r>
      <w:r>
        <w:rPr>
          <w:rStyle w:val="9"/>
          <w:rFonts w:ascii="仿宋_GB2312" w:hAnsi="Verdana" w:eastAsia="仿宋_GB2312"/>
          <w:color w:val="auto"/>
          <w:sz w:val="32"/>
          <w:szCs w:val="32"/>
          <w:shd w:val="clear" w:color="auto" w:fill="FFFFFF"/>
        </w:rPr>
        <w:t>sklxhb</w:t>
      </w:r>
      <w:r>
        <w:rPr>
          <w:rStyle w:val="9"/>
          <w:rFonts w:hint="eastAsia" w:asciiTheme="minorEastAsia" w:hAnsiTheme="minorEastAsia" w:eastAsiaTheme="minorEastAsia" w:cstheme="minorEastAsia"/>
          <w:color w:val="auto"/>
          <w:sz w:val="32"/>
          <w:szCs w:val="32"/>
          <w:shd w:val="clear" w:color="auto" w:fill="FFFFFF"/>
        </w:rPr>
        <w:t>@</w:t>
      </w:r>
      <w:r>
        <w:rPr>
          <w:rStyle w:val="9"/>
          <w:rFonts w:ascii="仿宋_GB2312" w:hAnsi="Verdana" w:eastAsia="仿宋_GB2312"/>
          <w:color w:val="auto"/>
          <w:sz w:val="32"/>
          <w:szCs w:val="32"/>
          <w:shd w:val="clear" w:color="auto" w:fill="FFFFFF"/>
        </w:rPr>
        <w:t>ly.shandong.cn</w:t>
      </w:r>
      <w:r>
        <w:rPr>
          <w:color w:val="auto"/>
        </w:rPr>
        <w:fldChar w:fldCharType="end"/>
      </w:r>
      <w:r>
        <w:rPr>
          <w:rFonts w:hint="eastAsia" w:ascii="仿宋_GB2312" w:eastAsia="仿宋_GB2312"/>
          <w:color w:val="auto"/>
          <w:sz w:val="32"/>
          <w:szCs w:val="32"/>
        </w:rPr>
        <w:t>。</w:t>
      </w:r>
      <w:r>
        <w:rPr>
          <w:rFonts w:hint="eastAsia" w:ascii="仿宋_GB2312" w:eastAsia="仿宋_GB2312"/>
          <w:sz w:val="32"/>
          <w:szCs w:val="32"/>
        </w:rPr>
        <w:t>已经完成的课题，可以申报结项评审，符合条件的优先推荐市委市政府主要领导阅示，优先发放资助经费，申请结项评审的，要符合“结项申报要求”。</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联系电话：8727633</w:t>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附件：1、2019年度社科研究“资助结题”名单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2、结项申报要求</w:t>
      </w:r>
    </w:p>
    <w:p>
      <w:pPr>
        <w:spacing w:line="560" w:lineRule="exact"/>
        <w:ind w:firstLine="1600" w:firstLineChars="500"/>
        <w:rPr>
          <w:rFonts w:ascii="仿宋_GB2312" w:eastAsia="仿宋_GB2312"/>
          <w:sz w:val="32"/>
          <w:szCs w:val="32"/>
        </w:rPr>
      </w:pPr>
      <w:r>
        <w:rPr>
          <w:rFonts w:hint="eastAsia" w:ascii="仿宋_GB2312" w:eastAsia="仿宋_GB2312"/>
          <w:sz w:val="32"/>
          <w:szCs w:val="32"/>
        </w:rPr>
        <w:t>3、临沂市社会科学研究课题结题鉴定评审书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市社科联</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2019年</w:t>
      </w:r>
      <w:r>
        <w:rPr>
          <w:rFonts w:hint="eastAsia" w:ascii="仿宋_GB2312" w:eastAsia="仿宋_GB2312"/>
          <w:sz w:val="32"/>
          <w:szCs w:val="32"/>
          <w:lang w:val="en-US" w:eastAsia="zh-CN"/>
        </w:rPr>
        <w:t>9</w:t>
      </w:r>
      <w:r>
        <w:rPr>
          <w:rFonts w:hint="eastAsia" w:ascii="仿宋_GB2312" w:eastAsia="仿宋_GB2312"/>
          <w:sz w:val="32"/>
          <w:szCs w:val="32"/>
        </w:rPr>
        <w:t>月25日</w:t>
      </w:r>
    </w:p>
    <w:p>
      <w:pPr>
        <w:spacing w:line="560" w:lineRule="exact"/>
        <w:rPr>
          <w:rFonts w:ascii="仿宋_GB2312" w:eastAsia="仿宋_GB2312"/>
          <w:sz w:val="32"/>
          <w:szCs w:val="32"/>
        </w:rPr>
        <w:sectPr>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pPr>
    </w:p>
    <w:p>
      <w:pPr>
        <w:spacing w:line="320" w:lineRule="exact"/>
        <w:rPr>
          <w:rFonts w:ascii="方正小标宋简体" w:eastAsia="方正小标宋简体"/>
          <w:sz w:val="32"/>
          <w:szCs w:val="32"/>
        </w:rPr>
      </w:pPr>
      <w:r>
        <w:rPr>
          <w:rFonts w:hint="eastAsia" w:ascii="黑体" w:hAnsi="黑体" w:eastAsia="黑体"/>
          <w:sz w:val="30"/>
          <w:szCs w:val="30"/>
        </w:rPr>
        <w:t>附件1：</w:t>
      </w:r>
      <w:r>
        <w:rPr>
          <w:rFonts w:hint="eastAsia" w:ascii="方正小标宋简体" w:eastAsia="方正小标宋简体"/>
          <w:sz w:val="32"/>
          <w:szCs w:val="32"/>
        </w:rPr>
        <w:t xml:space="preserve">                     2019年度社科研究“资助课题”名单</w:t>
      </w:r>
    </w:p>
    <w:tbl>
      <w:tblPr>
        <w:tblStyle w:val="5"/>
        <w:tblpPr w:leftFromText="180" w:rightFromText="180" w:vertAnchor="page" w:horzAnchor="margin" w:tblpXSpec="center" w:tblpY="2026"/>
        <w:tblW w:w="144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8803"/>
        <w:gridCol w:w="992"/>
        <w:gridCol w:w="2268"/>
        <w:gridCol w:w="1118"/>
        <w:gridCol w:w="17"/>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57" w:hRule="atLeast"/>
        </w:trPr>
        <w:tc>
          <w:tcPr>
            <w:tcW w:w="122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序</w:t>
            </w:r>
            <w:r>
              <w:rPr>
                <w:rFonts w:eastAsia="宋体" w:asciiTheme="minorEastAsia" w:hAnsiTheme="minorEastAsia" w:cstheme="minorEastAsia"/>
                <w:kern w:val="0"/>
                <w:sz w:val="20"/>
                <w:szCs w:val="21"/>
              </w:rPr>
              <w:t>号</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ascii="黑体" w:hAnsi="Times New Roman" w:eastAsia="黑体" w:cs="Times New Roman"/>
                <w:kern w:val="0"/>
                <w:sz w:val="20"/>
                <w:szCs w:val="21"/>
              </w:rPr>
              <w:t>课 题 名 称</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ascii="黑体" w:hAnsi="Times New Roman" w:eastAsia="黑体" w:cs="Times New Roman"/>
                <w:kern w:val="0"/>
                <w:sz w:val="20"/>
                <w:szCs w:val="21"/>
              </w:rPr>
              <w:t>申报人</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ascii="黑体" w:hAnsi="Times New Roman" w:eastAsia="黑体" w:cs="Times New Roman"/>
                <w:kern w:val="0"/>
                <w:sz w:val="20"/>
                <w:szCs w:val="21"/>
              </w:rPr>
              <w:t>所在单位</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hint="eastAsia" w:ascii="黑体" w:hAnsi="Times New Roman" w:eastAsia="黑体" w:cs="Times New Roman"/>
                <w:kern w:val="0"/>
                <w:sz w:val="2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57"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2019LX003</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临沂市国家级服务乡村振兴战略金融改革创新试验区建设路径研究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陈宜民</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人民银行市中心支行</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4"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2019LX007</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关于打造千万吨不锈钢产业基地的研究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许丁元</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市政府研究室</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1"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2019LX009</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关于建设京沪高铁二线中段特大中心城市的研究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杜宇功</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市政府研究室</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2"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2019LX012</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新旧动能转换背景下临沂市经济运行监测模型的构建与评价</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张宗良</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临沂大学</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0"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2019LX014</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弘扬沂蒙精神打造乡村振兴齐鲁样板的沂蒙高地研究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解磊</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临沂市委党校</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48"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2019LX017</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发挥商城“一城引领”作用创建中国物流科技城研究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庄妍</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临沂商城党政办公室</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0" w:hRule="atLeast"/>
        </w:trPr>
        <w:tc>
          <w:tcPr>
            <w:tcW w:w="1228" w:type="dxa"/>
            <w:vAlign w:val="center"/>
          </w:tcPr>
          <w:p>
            <w:pPr>
              <w:widowControl/>
              <w:spacing w:line="280" w:lineRule="exact"/>
              <w:jc w:val="left"/>
              <w:textAlignment w:val="center"/>
              <w:rPr>
                <w:rFonts w:ascii="宋体" w:hAnsi="宋体" w:eastAsia="宋体" w:cs="宋体"/>
                <w:kern w:val="0"/>
                <w:sz w:val="20"/>
                <w:szCs w:val="21"/>
              </w:rPr>
            </w:pPr>
            <w:r>
              <w:rPr>
                <w:rFonts w:hint="eastAsia" w:ascii="宋体" w:hAnsi="宋体" w:eastAsia="宋体" w:cs="宋体"/>
                <w:color w:val="000000"/>
                <w:kern w:val="0"/>
                <w:sz w:val="22"/>
                <w:szCs w:val="22"/>
              </w:rPr>
              <w:t>2019LX018</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基于临沂港路径探析的临沂国际陆港发展研究</w:t>
            </w:r>
          </w:p>
        </w:tc>
        <w:tc>
          <w:tcPr>
            <w:tcW w:w="992" w:type="dxa"/>
          </w:tcPr>
          <w:p>
            <w:pPr>
              <w:spacing w:line="280" w:lineRule="exact"/>
              <w:jc w:val="center"/>
              <w:rPr>
                <w:rFonts w:eastAsia="宋体" w:asciiTheme="minorEastAsia" w:hAnsiTheme="minorEastAsia" w:cstheme="minorEastAsia"/>
                <w:kern w:val="0"/>
                <w:sz w:val="15"/>
                <w:szCs w:val="15"/>
              </w:rPr>
            </w:pPr>
            <w:r>
              <w:rPr>
                <w:rFonts w:hint="eastAsia" w:eastAsia="宋体" w:asciiTheme="minorEastAsia" w:hAnsiTheme="minorEastAsia" w:cstheme="minorEastAsia"/>
                <w:kern w:val="0"/>
                <w:sz w:val="15"/>
                <w:szCs w:val="15"/>
              </w:rPr>
              <w:t>王玲、柏岳</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临沂商城管委会</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委托资助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0"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2019LX091</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新旧动能转换背景下临沂市金融服务实体经济问题研究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李广森</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青岛理工大学（临沂）</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20"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2019LX125</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构建“取之于群众诉求用之于解决群众诉求”数据闭环以大数据分析提升热线诉求办理水平</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解曙光 王文峰</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市政府办公室</w:t>
            </w:r>
          </w:p>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临沂大学</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委托资助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68" w:hRule="atLeast"/>
        </w:trPr>
        <w:tc>
          <w:tcPr>
            <w:tcW w:w="1228" w:type="dxa"/>
            <w:vAlign w:val="center"/>
          </w:tcPr>
          <w:p>
            <w:pPr>
              <w:widowControl/>
              <w:spacing w:line="280" w:lineRule="exact"/>
              <w:jc w:val="left"/>
              <w:textAlignment w:val="center"/>
              <w:rPr>
                <w:rFonts w:ascii="宋体" w:hAnsi="宋体" w:eastAsia="宋体" w:cs="宋体"/>
                <w:kern w:val="0"/>
                <w:sz w:val="20"/>
                <w:szCs w:val="21"/>
              </w:rPr>
            </w:pPr>
            <w:r>
              <w:rPr>
                <w:rFonts w:hint="eastAsia" w:ascii="宋体" w:hAnsi="宋体" w:eastAsia="宋体" w:cs="宋体"/>
                <w:color w:val="000000"/>
                <w:kern w:val="0"/>
                <w:sz w:val="22"/>
                <w:szCs w:val="22"/>
              </w:rPr>
              <w:t>2019LX138</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政府机构改革背景下的临沂市食品安全存在的问题及对策</w:t>
            </w:r>
          </w:p>
        </w:tc>
        <w:tc>
          <w:tcPr>
            <w:tcW w:w="992" w:type="dxa"/>
          </w:tcPr>
          <w:p>
            <w:pPr>
              <w:spacing w:line="280" w:lineRule="exact"/>
              <w:jc w:val="center"/>
              <w:rPr>
                <w:rFonts w:ascii="宋体" w:hAnsi="宋体" w:eastAsia="宋体" w:cs="Times New Roman"/>
                <w:kern w:val="0"/>
                <w:sz w:val="20"/>
                <w:szCs w:val="21"/>
              </w:rPr>
            </w:pPr>
            <w:r>
              <w:rPr>
                <w:rFonts w:hint="eastAsia" w:ascii="宋体" w:hAnsi="宋体" w:eastAsia="宋体" w:cs="Times New Roman"/>
                <w:kern w:val="0"/>
                <w:sz w:val="20"/>
                <w:szCs w:val="21"/>
              </w:rPr>
              <w:t>杜庆贵</w:t>
            </w:r>
          </w:p>
        </w:tc>
        <w:tc>
          <w:tcPr>
            <w:tcW w:w="2268" w:type="dxa"/>
          </w:tcPr>
          <w:p>
            <w:pPr>
              <w:spacing w:line="280" w:lineRule="exact"/>
              <w:jc w:val="center"/>
              <w:rPr>
                <w:rFonts w:ascii="宋体" w:hAnsi="宋体" w:eastAsia="宋体" w:cs="Times New Roman"/>
                <w:kern w:val="0"/>
                <w:sz w:val="20"/>
                <w:szCs w:val="21"/>
              </w:rPr>
            </w:pPr>
            <w:r>
              <w:rPr>
                <w:rFonts w:hint="eastAsia" w:ascii="宋体" w:hAnsi="宋体" w:eastAsia="宋体" w:cs="Times New Roman"/>
                <w:kern w:val="0"/>
                <w:sz w:val="20"/>
                <w:szCs w:val="21"/>
              </w:rPr>
              <w:t>临沂大学</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2019LX154</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我市防范和化解重大金融风险问题研究</w:t>
            </w:r>
          </w:p>
        </w:tc>
        <w:tc>
          <w:tcPr>
            <w:tcW w:w="992" w:type="dxa"/>
          </w:tcPr>
          <w:p>
            <w:pPr>
              <w:spacing w:line="280" w:lineRule="exact"/>
              <w:jc w:val="center"/>
              <w:rPr>
                <w:rFonts w:ascii="宋体" w:hAnsi="宋体" w:eastAsia="宋体" w:cs="Times New Roman"/>
                <w:kern w:val="0"/>
                <w:sz w:val="20"/>
                <w:szCs w:val="21"/>
              </w:rPr>
            </w:pPr>
            <w:r>
              <w:rPr>
                <w:rFonts w:hint="eastAsia" w:ascii="宋体" w:hAnsi="宋体" w:eastAsia="宋体" w:cs="Times New Roman"/>
                <w:kern w:val="0"/>
                <w:sz w:val="20"/>
                <w:szCs w:val="21"/>
              </w:rPr>
              <w:t>李枝叶</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市审计局</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委托资助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2019LX167</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建立健全稳定脱贫长效机制巩固提升脱贫成果研究</w:t>
            </w:r>
          </w:p>
        </w:tc>
        <w:tc>
          <w:tcPr>
            <w:tcW w:w="992" w:type="dxa"/>
          </w:tcPr>
          <w:p>
            <w:pPr>
              <w:spacing w:line="280" w:lineRule="exact"/>
              <w:jc w:val="center"/>
              <w:rPr>
                <w:rFonts w:ascii="宋体" w:hAnsi="宋体" w:eastAsia="宋体" w:cs="Times New Roman"/>
                <w:kern w:val="0"/>
                <w:sz w:val="20"/>
                <w:szCs w:val="21"/>
              </w:rPr>
            </w:pPr>
            <w:r>
              <w:rPr>
                <w:rFonts w:hint="eastAsia" w:ascii="宋体" w:hAnsi="宋体" w:eastAsia="宋体" w:cs="Times New Roman"/>
                <w:kern w:val="0"/>
                <w:sz w:val="20"/>
                <w:szCs w:val="21"/>
              </w:rPr>
              <w:t>熊长远</w:t>
            </w:r>
          </w:p>
        </w:tc>
        <w:tc>
          <w:tcPr>
            <w:tcW w:w="2268" w:type="dxa"/>
          </w:tcPr>
          <w:p>
            <w:pPr>
              <w:spacing w:line="280" w:lineRule="exact"/>
              <w:jc w:val="center"/>
              <w:rPr>
                <w:rFonts w:ascii="宋体" w:hAnsi="宋体" w:eastAsia="宋体" w:cs="Times New Roman"/>
                <w:kern w:val="0"/>
                <w:sz w:val="20"/>
                <w:szCs w:val="21"/>
              </w:rPr>
            </w:pPr>
            <w:r>
              <w:rPr>
                <w:rFonts w:hint="eastAsia" w:ascii="宋体" w:hAnsi="宋体" w:eastAsia="宋体" w:cs="Times New Roman"/>
                <w:kern w:val="0"/>
                <w:sz w:val="20"/>
                <w:szCs w:val="21"/>
              </w:rPr>
              <w:t>市扶贫办</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委托资助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2019LX317</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习近平新时代中国特色社会主义思想在临沂的践行之乡村振兴代村模式研究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任传玲</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兰陵县委党校</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2019LX318</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习近平新时代青年理想信念建设的理论与实践研究——以临沂大学为例</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白海若</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临沂大学</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2019LX319</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习近平革命老区脱贫攻坚理论研究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刘慧</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临沂大学</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trPr>
        <w:tc>
          <w:tcPr>
            <w:tcW w:w="1228" w:type="dxa"/>
            <w:vAlign w:val="center"/>
          </w:tcPr>
          <w:p>
            <w:pPr>
              <w:widowControl/>
              <w:spacing w:line="280" w:lineRule="exact"/>
              <w:jc w:val="left"/>
              <w:textAlignment w:val="center"/>
              <w:rPr>
                <w:rFonts w:ascii="宋体" w:hAnsi="宋体" w:eastAsia="宋体" w:cs="宋体"/>
                <w:kern w:val="0"/>
                <w:sz w:val="20"/>
                <w:szCs w:val="21"/>
              </w:rPr>
            </w:pPr>
            <w:r>
              <w:rPr>
                <w:rFonts w:hint="eastAsia" w:ascii="宋体" w:hAnsi="宋体" w:eastAsia="宋体" w:cs="宋体"/>
                <w:color w:val="000000"/>
                <w:kern w:val="0"/>
                <w:sz w:val="22"/>
                <w:szCs w:val="22"/>
              </w:rPr>
              <w:t>2019LX322</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临沂商城践行习近平新时代中国特色社会主义经济思想研究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邱君帝</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临沂市委党校</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trPr>
        <w:tc>
          <w:tcPr>
            <w:tcW w:w="1228" w:type="dxa"/>
            <w:vAlign w:val="center"/>
          </w:tcPr>
          <w:p>
            <w:pPr>
              <w:widowControl/>
              <w:spacing w:line="280" w:lineRule="exact"/>
              <w:jc w:val="left"/>
              <w:textAlignment w:val="center"/>
              <w:rPr>
                <w:rFonts w:ascii="宋体" w:hAnsi="宋体" w:eastAsia="宋体" w:cs="宋体"/>
                <w:kern w:val="0"/>
                <w:sz w:val="20"/>
                <w:szCs w:val="21"/>
              </w:rPr>
            </w:pPr>
            <w:r>
              <w:rPr>
                <w:rFonts w:hint="eastAsia" w:ascii="宋体" w:hAnsi="宋体" w:eastAsia="宋体" w:cs="宋体"/>
                <w:color w:val="000000"/>
                <w:kern w:val="0"/>
                <w:sz w:val="22"/>
                <w:szCs w:val="22"/>
              </w:rPr>
              <w:t>2019LX324</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新时代改革强军背景下的高校国防教育创新发展研究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许云超</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临沂大学</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2019LX328</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 论沂蒙精神在中国共产党精神谱系中的历史地位</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周永军</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市委第二巡察组</w:t>
            </w:r>
          </w:p>
        </w:tc>
        <w:tc>
          <w:tcPr>
            <w:tcW w:w="1150" w:type="dxa"/>
            <w:gridSpan w:val="3"/>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委托资助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63"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2019LX353</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新时代弘扬沂蒙精神传承红色基因路径探索与创新研究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张淑琴</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临沂北城小学</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委托资助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236" w:hRule="atLeast"/>
        </w:trPr>
        <w:tc>
          <w:tcPr>
            <w:tcW w:w="1228" w:type="dxa"/>
            <w:vAlign w:val="center"/>
          </w:tcPr>
          <w:p>
            <w:pPr>
              <w:widowControl/>
              <w:spacing w:line="280" w:lineRule="exact"/>
              <w:jc w:val="left"/>
              <w:textAlignment w:val="center"/>
              <w:rPr>
                <w:rFonts w:ascii="宋体" w:hAnsi="宋体" w:eastAsia="宋体" w:cs="宋体"/>
                <w:kern w:val="0"/>
                <w:sz w:val="20"/>
                <w:szCs w:val="21"/>
              </w:rPr>
            </w:pPr>
            <w:r>
              <w:rPr>
                <w:rFonts w:hint="eastAsia" w:ascii="宋体" w:hAnsi="宋体" w:eastAsia="宋体" w:cs="宋体"/>
                <w:color w:val="000000"/>
                <w:kern w:val="0"/>
                <w:sz w:val="22"/>
                <w:szCs w:val="22"/>
              </w:rPr>
              <w:t>2019LX364</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培育新时代沂蒙精神“标志性文化符号”的路径研究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陈为艳</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临沂大学</w:t>
            </w:r>
          </w:p>
        </w:tc>
        <w:tc>
          <w:tcPr>
            <w:tcW w:w="1118" w:type="dxa"/>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2019LX368</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沂蒙精神助推临沂乡村振兴研究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李高东</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临沂大学</w:t>
            </w:r>
          </w:p>
        </w:tc>
        <w:tc>
          <w:tcPr>
            <w:tcW w:w="1118" w:type="dxa"/>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trPr>
        <w:tc>
          <w:tcPr>
            <w:tcW w:w="1228" w:type="dxa"/>
            <w:vAlign w:val="center"/>
          </w:tcPr>
          <w:p>
            <w:pPr>
              <w:widowControl/>
              <w:spacing w:line="280" w:lineRule="exact"/>
              <w:jc w:val="left"/>
              <w:textAlignment w:val="center"/>
              <w:rPr>
                <w:rFonts w:ascii="宋体" w:hAnsi="宋体" w:eastAsia="宋体" w:cs="宋体"/>
                <w:kern w:val="0"/>
                <w:sz w:val="20"/>
                <w:szCs w:val="21"/>
              </w:rPr>
            </w:pPr>
            <w:r>
              <w:rPr>
                <w:rFonts w:hint="eastAsia" w:ascii="宋体" w:hAnsi="宋体" w:eastAsia="宋体" w:cs="宋体"/>
                <w:color w:val="000000"/>
                <w:kern w:val="0"/>
                <w:sz w:val="22"/>
                <w:szCs w:val="22"/>
              </w:rPr>
              <w:t>2019LX369</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沂蒙精神指导下的儿童启蒙绘本的开发与制作</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李国强</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临沂大学</w:t>
            </w:r>
          </w:p>
        </w:tc>
        <w:tc>
          <w:tcPr>
            <w:tcW w:w="1118" w:type="dxa"/>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委托资助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2019LX371</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基于微视频时代的沂蒙精神传播研究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李梅</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临沂大学</w:t>
            </w:r>
          </w:p>
        </w:tc>
        <w:tc>
          <w:tcPr>
            <w:tcW w:w="1118" w:type="dxa"/>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2019LX382</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传承红色基因 助力沂蒙发展——临沂市红色文化资源产业化发展研究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邢树娜</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临沂大学</w:t>
            </w:r>
          </w:p>
        </w:tc>
        <w:tc>
          <w:tcPr>
            <w:tcW w:w="1118" w:type="dxa"/>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委托资助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2019LX401</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继承弘扬沂蒙精神中“敢闯新路”的精神品质研究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王成娟</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临沂市委党校</w:t>
            </w:r>
          </w:p>
        </w:tc>
        <w:tc>
          <w:tcPr>
            <w:tcW w:w="1118" w:type="dxa"/>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2019LX402</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沂蒙精神与红色文旅融合发展问题研究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薄世杰</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临沂市委党校</w:t>
            </w:r>
          </w:p>
        </w:tc>
        <w:tc>
          <w:tcPr>
            <w:tcW w:w="1118" w:type="dxa"/>
          </w:tcPr>
          <w:p>
            <w:pPr>
              <w:spacing w:line="280" w:lineRule="exact"/>
              <w:jc w:val="center"/>
              <w:rPr>
                <w:rFonts w:eastAsia="宋体" w:asciiTheme="minorEastAsia" w:hAnsiTheme="minorEastAsia" w:cstheme="minorEastAsia"/>
                <w:kern w:val="0"/>
                <w:sz w:val="20"/>
                <w:szCs w:val="21"/>
              </w:rPr>
            </w:pPr>
            <w:r>
              <w:rPr>
                <w:rFonts w:eastAsia="宋体" w:asciiTheme="minorEastAsia" w:hAnsiTheme="minorEastAsia" w:cstheme="minorEastAsia"/>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49" w:hRule="atLeast"/>
        </w:trPr>
        <w:tc>
          <w:tcPr>
            <w:tcW w:w="1228" w:type="dxa"/>
            <w:vAlign w:val="center"/>
          </w:tcPr>
          <w:p>
            <w:pPr>
              <w:widowControl/>
              <w:spacing w:line="280" w:lineRule="exact"/>
              <w:jc w:val="left"/>
              <w:textAlignment w:val="center"/>
              <w:rPr>
                <w:rFonts w:eastAsia="宋体" w:asciiTheme="minorEastAsia" w:hAnsiTheme="minorEastAsia" w:cstheme="minorEastAsia"/>
                <w:kern w:val="0"/>
                <w:sz w:val="20"/>
                <w:szCs w:val="21"/>
              </w:rPr>
            </w:pPr>
            <w:r>
              <w:rPr>
                <w:rFonts w:hint="eastAsia" w:ascii="宋体" w:hAnsi="宋体" w:eastAsia="宋体" w:cs="宋体"/>
                <w:color w:val="000000"/>
                <w:kern w:val="0"/>
                <w:sz w:val="22"/>
                <w:szCs w:val="22"/>
              </w:rPr>
              <w:t>2019LX429</w:t>
            </w:r>
          </w:p>
        </w:tc>
        <w:tc>
          <w:tcPr>
            <w:tcW w:w="8803"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罗生特医学人文素养的研究</w:t>
            </w:r>
          </w:p>
        </w:tc>
        <w:tc>
          <w:tcPr>
            <w:tcW w:w="992"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邵小琳</w:t>
            </w:r>
          </w:p>
        </w:tc>
        <w:tc>
          <w:tcPr>
            <w:tcW w:w="2268" w:type="dxa"/>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山东医专</w:t>
            </w:r>
          </w:p>
        </w:tc>
        <w:tc>
          <w:tcPr>
            <w:tcW w:w="1135" w:type="dxa"/>
            <w:gridSpan w:val="2"/>
          </w:tcPr>
          <w:p>
            <w:pPr>
              <w:spacing w:line="280" w:lineRule="exact"/>
              <w:jc w:val="center"/>
              <w:rPr>
                <w:rFonts w:eastAsia="宋体" w:asciiTheme="minorEastAsia" w:hAnsiTheme="minorEastAsia" w:cstheme="minorEastAsia"/>
                <w:kern w:val="0"/>
                <w:sz w:val="20"/>
                <w:szCs w:val="21"/>
              </w:rPr>
            </w:pPr>
            <w:r>
              <w:rPr>
                <w:rFonts w:hint="eastAsia" w:eastAsia="宋体" w:asciiTheme="minorEastAsia" w:hAnsiTheme="minorEastAsia" w:cstheme="minorEastAsia"/>
                <w:kern w:val="0"/>
                <w:sz w:val="20"/>
                <w:szCs w:val="21"/>
              </w:rPr>
              <w:t>委托资助</w:t>
            </w:r>
          </w:p>
        </w:tc>
      </w:tr>
    </w:tbl>
    <w:p>
      <w:pPr>
        <w:spacing w:line="280" w:lineRule="exact"/>
        <w:rPr>
          <w:rFonts w:ascii="仿宋_GB2312" w:eastAsia="仿宋_GB2312"/>
          <w:sz w:val="32"/>
          <w:szCs w:val="32"/>
        </w:rPr>
      </w:pPr>
    </w:p>
    <w:p>
      <w:pPr>
        <w:spacing w:line="280" w:lineRule="exact"/>
        <w:rPr>
          <w:rFonts w:ascii="仿宋_GB2312" w:eastAsia="仿宋_GB2312"/>
          <w:sz w:val="32"/>
          <w:szCs w:val="32"/>
        </w:rPr>
      </w:pPr>
    </w:p>
    <w:p>
      <w:pPr>
        <w:spacing w:line="280" w:lineRule="exact"/>
        <w:rPr>
          <w:rFonts w:ascii="仿宋_GB2312" w:eastAsia="仿宋_GB2312"/>
          <w:sz w:val="32"/>
          <w:szCs w:val="32"/>
        </w:rPr>
        <w:sectPr>
          <w:footerReference r:id="rId6" w:type="default"/>
          <w:pgSz w:w="16838" w:h="11906" w:orient="landscape"/>
          <w:pgMar w:top="1134" w:right="1134" w:bottom="1134" w:left="1134" w:header="851" w:footer="992" w:gutter="0"/>
          <w:cols w:space="425" w:num="1"/>
          <w:docGrid w:type="linesAndChars" w:linePitch="312" w:charSpace="0"/>
        </w:sectPr>
      </w:pPr>
    </w:p>
    <w:p>
      <w:pPr>
        <w:spacing w:line="280" w:lineRule="exact"/>
        <w:rPr>
          <w:rFonts w:ascii="仿宋_GB2312" w:eastAsia="仿宋_GB2312"/>
          <w:sz w:val="32"/>
          <w:szCs w:val="32"/>
        </w:rPr>
      </w:pPr>
    </w:p>
    <w:p>
      <w:pPr>
        <w:spacing w:line="280" w:lineRule="exact"/>
        <w:rPr>
          <w:rFonts w:ascii="黑体" w:hAnsi="黑体" w:eastAsia="黑体"/>
          <w:sz w:val="30"/>
          <w:szCs w:val="30"/>
        </w:rPr>
      </w:pPr>
      <w:r>
        <w:rPr>
          <w:rFonts w:hint="eastAsia" w:ascii="黑体" w:hAnsi="黑体" w:eastAsia="黑体"/>
          <w:sz w:val="30"/>
          <w:szCs w:val="30"/>
        </w:rPr>
        <w:t>附件2：</w:t>
      </w:r>
    </w:p>
    <w:p>
      <w:pPr>
        <w:spacing w:line="280" w:lineRule="exact"/>
        <w:rPr>
          <w:rFonts w:ascii="仿宋_GB2312" w:eastAsia="仿宋_GB2312"/>
          <w:sz w:val="32"/>
          <w:szCs w:val="32"/>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结项申报要求</w:t>
      </w:r>
    </w:p>
    <w:p>
      <w:pPr>
        <w:spacing w:line="280" w:lineRule="exact"/>
        <w:jc w:val="center"/>
        <w:rPr>
          <w:rFonts w:ascii="方正小标宋简体" w:eastAsia="方正小标宋简体"/>
          <w:sz w:val="44"/>
          <w:szCs w:val="44"/>
        </w:rPr>
      </w:pPr>
    </w:p>
    <w:p>
      <w:pPr>
        <w:spacing w:line="560" w:lineRule="exact"/>
        <w:ind w:firstLine="640" w:firstLineChars="200"/>
        <w:rPr>
          <w:rFonts w:ascii="黑体" w:hAnsi="黑体" w:eastAsia="黑体"/>
          <w:sz w:val="32"/>
          <w:szCs w:val="32"/>
        </w:rPr>
      </w:pPr>
      <w:r>
        <w:rPr>
          <w:rFonts w:hint="eastAsia" w:ascii="黑体" w:hAnsi="黑体" w:eastAsia="黑体"/>
          <w:sz w:val="32"/>
          <w:szCs w:val="32"/>
        </w:rPr>
        <w:t>一、报送材料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1、研究成果：课题的最终完成形式为研究报告、论文或专著。</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2、成果摘要：简述本课题的主要内容、学术价值、社会影响、创新点等，字数控制在1000字左右。</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3、结项鉴定评审书：请在临沂社科在线网站（www.ymsk.cn）下载，正反面打印。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4、查重报告：申请人需自行提交权威机构出具的查重报告（可在中国知网、万方数据网、维普网、paperpass网等进行查重），重复率不得超过30%，否则不予受理。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以上材料需同时提供电子版和纸质版（研究成果、成果摘要和查重报告各一份，结项鉴定评审书一式三份），电子版发至市社科联电子信箱：</w:t>
      </w:r>
      <w:r>
        <w:rPr>
          <w:rStyle w:val="7"/>
          <w:rFonts w:hint="eastAsia" w:ascii="仿宋_GB2312" w:hAnsi="Verdana" w:eastAsia="仿宋_GB2312"/>
          <w:color w:val="333333"/>
          <w:sz w:val="32"/>
          <w:szCs w:val="32"/>
          <w:shd w:val="clear" w:color="auto" w:fill="FFFFFF"/>
        </w:rPr>
        <w:t>sklxhb@ly.shandong.cn</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二、有关要求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申请结项评审的，报送的研究成果必须资料翔实，有科学依据、问题分析、对策建议，文字应在6000字以上。课题研究内容与立项课题题目不相符者不予鉴定。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结项鉴定工作不收取任何费用。</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黑体" w:hAnsi="黑体" w:eastAsia="黑体"/>
          <w:sz w:val="30"/>
          <w:szCs w:val="30"/>
        </w:rPr>
      </w:pPr>
      <w:r>
        <w:rPr>
          <w:rFonts w:hint="eastAsia" w:ascii="黑体" w:hAnsi="黑体" w:eastAsia="黑体"/>
          <w:sz w:val="30"/>
          <w:szCs w:val="30"/>
        </w:rPr>
        <w:t>附件3：</w:t>
      </w:r>
    </w:p>
    <w:p>
      <w:pPr>
        <w:rPr>
          <w:sz w:val="44"/>
          <w:szCs w:val="44"/>
        </w:rPr>
      </w:pPr>
    </w:p>
    <w:p>
      <w:pPr>
        <w:ind w:firstLine="442" w:firstLineChars="100"/>
        <w:jc w:val="center"/>
        <w:rPr>
          <w:b/>
          <w:sz w:val="44"/>
          <w:szCs w:val="44"/>
        </w:rPr>
      </w:pPr>
      <w:r>
        <w:rPr>
          <w:rFonts w:hint="eastAsia"/>
          <w:b/>
          <w:sz w:val="44"/>
          <w:szCs w:val="44"/>
        </w:rPr>
        <w:t>临 沂 市 社 会 科 学 研 究 课 题</w:t>
      </w:r>
    </w:p>
    <w:p>
      <w:pPr>
        <w:jc w:val="center"/>
        <w:rPr>
          <w:b/>
          <w:sz w:val="18"/>
          <w:szCs w:val="18"/>
        </w:rPr>
      </w:pPr>
    </w:p>
    <w:p>
      <w:pPr>
        <w:jc w:val="center"/>
        <w:rPr>
          <w:b/>
          <w:sz w:val="48"/>
          <w:szCs w:val="48"/>
        </w:rPr>
      </w:pPr>
      <w:r>
        <w:rPr>
          <w:rFonts w:hint="eastAsia"/>
          <w:b/>
          <w:sz w:val="48"/>
          <w:szCs w:val="48"/>
        </w:rPr>
        <w:t>结 题 鉴 定 评 审 书</w:t>
      </w:r>
    </w:p>
    <w:p>
      <w:pPr>
        <w:jc w:val="center"/>
        <w:rPr>
          <w:sz w:val="48"/>
          <w:szCs w:val="48"/>
        </w:rPr>
      </w:pPr>
      <w:r>
        <w:rPr>
          <w:rFonts w:hint="eastAsia"/>
          <w:sz w:val="48"/>
          <w:szCs w:val="48"/>
        </w:rPr>
        <w:t>（2019）</w:t>
      </w:r>
    </w:p>
    <w:p>
      <w:pPr>
        <w:rPr>
          <w:sz w:val="48"/>
          <w:szCs w:val="48"/>
        </w:rPr>
      </w:pPr>
    </w:p>
    <w:p>
      <w:pPr>
        <w:rPr>
          <w:sz w:val="48"/>
          <w:szCs w:val="48"/>
        </w:rPr>
      </w:pPr>
    </w:p>
    <w:p>
      <w:pPr>
        <w:rPr>
          <w:sz w:val="48"/>
          <w:szCs w:val="48"/>
        </w:rPr>
      </w:pPr>
    </w:p>
    <w:p>
      <w:pPr>
        <w:rPr>
          <w:sz w:val="48"/>
          <w:szCs w:val="48"/>
        </w:rPr>
      </w:pPr>
    </w:p>
    <w:p>
      <w:pPr>
        <w:ind w:firstLine="800" w:firstLineChars="250"/>
        <w:rPr>
          <w:sz w:val="13"/>
          <w:szCs w:val="13"/>
          <w:u w:val="single"/>
        </w:rPr>
      </w:pPr>
      <w:r>
        <w:rPr>
          <w:rFonts w:hint="eastAsia"/>
          <w:sz w:val="32"/>
          <w:szCs w:val="32"/>
        </w:rPr>
        <w:t xml:space="preserve">课  题 名 称 </w:t>
      </w:r>
      <w:r>
        <w:rPr>
          <w:rFonts w:hint="eastAsia"/>
          <w:sz w:val="24"/>
        </w:rPr>
        <w:t xml:space="preserve"> </w:t>
      </w:r>
      <w:r>
        <w:rPr>
          <w:rFonts w:hint="eastAsia"/>
          <w:sz w:val="24"/>
          <w:u w:val="single"/>
        </w:rPr>
        <w:t xml:space="preserve">                             </w:t>
      </w:r>
      <w:r>
        <w:rPr>
          <w:rFonts w:hint="eastAsia"/>
          <w:sz w:val="13"/>
          <w:szCs w:val="13"/>
          <w:u w:val="single"/>
        </w:rPr>
        <w:t xml:space="preserve"> </w:t>
      </w:r>
    </w:p>
    <w:p>
      <w:pPr>
        <w:ind w:firstLine="800" w:firstLineChars="250"/>
        <w:rPr>
          <w:sz w:val="13"/>
          <w:szCs w:val="13"/>
        </w:rPr>
      </w:pPr>
      <w:r>
        <w:rPr>
          <w:rFonts w:hint="eastAsia"/>
          <w:sz w:val="32"/>
          <w:szCs w:val="32"/>
        </w:rPr>
        <w:t xml:space="preserve">课  题 类 别 </w:t>
      </w:r>
      <w:r>
        <w:rPr>
          <w:rFonts w:hint="eastAsia"/>
          <w:sz w:val="24"/>
        </w:rPr>
        <w:t xml:space="preserve"> </w:t>
      </w:r>
      <w:r>
        <w:rPr>
          <w:rFonts w:hint="eastAsia"/>
          <w:sz w:val="24"/>
          <w:u w:val="single"/>
        </w:rPr>
        <w:t xml:space="preserve">                             </w:t>
      </w:r>
    </w:p>
    <w:p>
      <w:pPr>
        <w:ind w:firstLine="800" w:firstLineChars="250"/>
        <w:rPr>
          <w:sz w:val="32"/>
          <w:szCs w:val="32"/>
          <w:u w:val="single"/>
        </w:rPr>
      </w:pPr>
      <w:r>
        <w:rPr>
          <w:rFonts w:hint="eastAsia"/>
          <w:sz w:val="32"/>
          <w:szCs w:val="32"/>
        </w:rPr>
        <w:t xml:space="preserve">立  项 编 号  </w:t>
      </w:r>
      <w:r>
        <w:rPr>
          <w:rFonts w:hint="eastAsia"/>
          <w:sz w:val="32"/>
          <w:szCs w:val="32"/>
          <w:u w:val="single"/>
        </w:rPr>
        <w:t xml:space="preserve">                      </w:t>
      </w:r>
    </w:p>
    <w:p>
      <w:pPr>
        <w:ind w:firstLine="784" w:firstLineChars="200"/>
        <w:rPr>
          <w:spacing w:val="36"/>
          <w:sz w:val="13"/>
          <w:szCs w:val="13"/>
        </w:rPr>
      </w:pPr>
      <w:r>
        <w:rPr>
          <w:rFonts w:hint="eastAsia"/>
          <w:spacing w:val="36"/>
          <w:sz w:val="32"/>
          <w:szCs w:val="32"/>
        </w:rPr>
        <w:t xml:space="preserve">课题负责人 </w:t>
      </w:r>
      <w:r>
        <w:rPr>
          <w:rFonts w:hint="eastAsia"/>
          <w:spacing w:val="36"/>
          <w:sz w:val="32"/>
          <w:szCs w:val="32"/>
          <w:u w:val="single"/>
        </w:rPr>
        <w:t xml:space="preserve">               </w:t>
      </w:r>
      <w:r>
        <w:rPr>
          <w:rFonts w:hint="eastAsia"/>
          <w:spacing w:val="36"/>
          <w:sz w:val="13"/>
          <w:szCs w:val="13"/>
          <w:u w:val="single"/>
        </w:rPr>
        <w:t xml:space="preserve"> </w:t>
      </w:r>
    </w:p>
    <w:p>
      <w:pPr>
        <w:ind w:firstLine="784" w:firstLineChars="200"/>
        <w:rPr>
          <w:spacing w:val="36"/>
          <w:sz w:val="18"/>
          <w:szCs w:val="18"/>
          <w:u w:val="single"/>
        </w:rPr>
      </w:pPr>
      <w:r>
        <w:rPr>
          <w:rFonts w:hint="eastAsia"/>
          <w:spacing w:val="36"/>
          <w:sz w:val="32"/>
          <w:szCs w:val="32"/>
        </w:rPr>
        <w:t xml:space="preserve">课题组成员 </w:t>
      </w:r>
      <w:r>
        <w:rPr>
          <w:rFonts w:hint="eastAsia"/>
          <w:spacing w:val="36"/>
          <w:sz w:val="32"/>
          <w:szCs w:val="32"/>
          <w:u w:val="single"/>
        </w:rPr>
        <w:t xml:space="preserve">               </w:t>
      </w:r>
      <w:r>
        <w:rPr>
          <w:rFonts w:hint="eastAsia"/>
          <w:spacing w:val="36"/>
          <w:sz w:val="18"/>
          <w:szCs w:val="18"/>
          <w:u w:val="single"/>
        </w:rPr>
        <w:t xml:space="preserve"> </w:t>
      </w:r>
    </w:p>
    <w:p>
      <w:pPr>
        <w:ind w:firstLine="800" w:firstLineChars="250"/>
        <w:rPr>
          <w:sz w:val="32"/>
          <w:szCs w:val="32"/>
          <w:u w:val="single"/>
        </w:rPr>
      </w:pPr>
      <w:r>
        <w:rPr>
          <w:rFonts w:hint="eastAsia"/>
          <w:sz w:val="32"/>
          <w:szCs w:val="32"/>
        </w:rPr>
        <w:t xml:space="preserve">课题完成单位  </w:t>
      </w:r>
      <w:r>
        <w:rPr>
          <w:rFonts w:hint="eastAsia"/>
          <w:sz w:val="32"/>
          <w:szCs w:val="32"/>
          <w:u w:val="single"/>
        </w:rPr>
        <w:t xml:space="preserve">                      </w:t>
      </w:r>
    </w:p>
    <w:p>
      <w:pPr>
        <w:ind w:firstLine="800" w:firstLineChars="250"/>
        <w:rPr>
          <w:sz w:val="32"/>
          <w:szCs w:val="32"/>
          <w:u w:val="single"/>
        </w:rPr>
      </w:pPr>
      <w:r>
        <w:rPr>
          <w:rFonts w:hint="eastAsia"/>
          <w:sz w:val="32"/>
          <w:szCs w:val="32"/>
        </w:rPr>
        <w:t xml:space="preserve">课题起止时间  </w:t>
      </w:r>
      <w:r>
        <w:rPr>
          <w:rFonts w:hint="eastAsia"/>
          <w:sz w:val="32"/>
          <w:szCs w:val="32"/>
          <w:u w:val="single"/>
        </w:rPr>
        <w:t xml:space="preserve">                      </w:t>
      </w:r>
    </w:p>
    <w:p>
      <w:pPr>
        <w:ind w:firstLine="800" w:firstLineChars="250"/>
        <w:rPr>
          <w:sz w:val="32"/>
          <w:szCs w:val="32"/>
          <w:u w:val="single"/>
        </w:rPr>
      </w:pPr>
      <w:r>
        <w:rPr>
          <w:rFonts w:hint="eastAsia"/>
          <w:sz w:val="32"/>
          <w:szCs w:val="32"/>
        </w:rPr>
        <w:t>最终成果形式</w:t>
      </w:r>
      <w:r>
        <w:rPr>
          <w:rFonts w:hint="eastAsia"/>
          <w:sz w:val="28"/>
          <w:szCs w:val="28"/>
        </w:rPr>
        <w:t xml:space="preserve">  </w:t>
      </w:r>
      <w:r>
        <w:rPr>
          <w:rFonts w:hint="eastAsia"/>
          <w:sz w:val="32"/>
          <w:szCs w:val="32"/>
          <w:u w:val="single"/>
        </w:rPr>
        <w:t xml:space="preserve">                      </w:t>
      </w:r>
    </w:p>
    <w:p>
      <w:pPr>
        <w:ind w:firstLine="1120" w:firstLineChars="400"/>
        <w:rPr>
          <w:sz w:val="28"/>
          <w:szCs w:val="28"/>
        </w:rPr>
      </w:pPr>
    </w:p>
    <w:p>
      <w:pPr>
        <w:ind w:firstLine="1120" w:firstLineChars="400"/>
        <w:rPr>
          <w:sz w:val="28"/>
          <w:szCs w:val="28"/>
        </w:rPr>
      </w:pPr>
    </w:p>
    <w:p>
      <w:pPr>
        <w:ind w:firstLine="1280" w:firstLineChars="400"/>
        <w:jc w:val="center"/>
        <w:rPr>
          <w:sz w:val="32"/>
          <w:szCs w:val="32"/>
        </w:rPr>
      </w:pPr>
      <w:r>
        <w:rPr>
          <w:rFonts w:hint="eastAsia"/>
          <w:sz w:val="32"/>
          <w:szCs w:val="32"/>
        </w:rPr>
        <w:t>临沂市社会科学界联合会</w:t>
      </w:r>
    </w:p>
    <w:p>
      <w:pPr>
        <w:ind w:firstLine="1232" w:firstLineChars="400"/>
        <w:jc w:val="center"/>
        <w:rPr>
          <w:spacing w:val="-6"/>
          <w:sz w:val="32"/>
          <w:szCs w:val="32"/>
        </w:rPr>
        <w:sectPr>
          <w:headerReference r:id="rId9" w:type="first"/>
          <w:footerReference r:id="rId12" w:type="first"/>
          <w:headerReference r:id="rId7" w:type="default"/>
          <w:footerReference r:id="rId10" w:type="default"/>
          <w:headerReference r:id="rId8" w:type="even"/>
          <w:footerReference r:id="rId11" w:type="even"/>
          <w:pgSz w:w="11907" w:h="16840"/>
          <w:pgMar w:top="1440" w:right="1588" w:bottom="1440" w:left="1588" w:header="851" w:footer="992" w:gutter="0"/>
          <w:cols w:space="425" w:num="1"/>
          <w:titlePg/>
          <w:docGrid w:type="lines" w:linePitch="312" w:charSpace="0"/>
        </w:sectPr>
      </w:pPr>
    </w:p>
    <w:tbl>
      <w:tblPr>
        <w:tblStyle w:val="4"/>
        <w:tblW w:w="9356"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2"/>
        <w:gridCol w:w="7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 w:hRule="atLeast"/>
        </w:trPr>
        <w:tc>
          <w:tcPr>
            <w:tcW w:w="9356" w:type="dxa"/>
            <w:gridSpan w:val="2"/>
          </w:tcPr>
          <w:p>
            <w:pPr>
              <w:jc w:val="center"/>
              <w:rPr>
                <w:kern w:val="0"/>
                <w:sz w:val="24"/>
              </w:rPr>
            </w:pPr>
            <w:r>
              <w:rPr>
                <w:rFonts w:hint="eastAsia"/>
                <w:kern w:val="0"/>
                <w:sz w:val="24"/>
              </w:rPr>
              <w:t>课题研究主要成果简介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97" w:hRule="atLeast"/>
        </w:trPr>
        <w:tc>
          <w:tcPr>
            <w:tcW w:w="9356" w:type="dxa"/>
            <w:gridSpan w:val="2"/>
          </w:tcPr>
          <w:p>
            <w:pPr>
              <w:spacing w:line="360" w:lineRule="auto"/>
              <w:ind w:firstLine="480" w:firstLineChars="200"/>
              <w:rPr>
                <w:rFonts w:ascii="宋体" w:hAnsi="宋体"/>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p>
            <w:pPr>
              <w:spacing w:line="360" w:lineRule="auto"/>
              <w:ind w:firstLine="436" w:firstLineChars="182"/>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442" w:type="dxa"/>
            <w:vAlign w:val="center"/>
          </w:tcPr>
          <w:p>
            <w:pPr>
              <w:jc w:val="center"/>
              <w:rPr>
                <w:kern w:val="0"/>
                <w:sz w:val="24"/>
              </w:rPr>
            </w:pPr>
            <w:r>
              <w:rPr>
                <w:rFonts w:hint="eastAsia"/>
                <w:kern w:val="0"/>
                <w:sz w:val="24"/>
              </w:rPr>
              <w:t>联系方式</w:t>
            </w:r>
          </w:p>
        </w:tc>
        <w:tc>
          <w:tcPr>
            <w:tcW w:w="7914" w:type="dxa"/>
          </w:tcPr>
          <w:p>
            <w:pP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trPr>
        <w:tc>
          <w:tcPr>
            <w:tcW w:w="9356" w:type="dxa"/>
            <w:gridSpan w:val="2"/>
            <w:vAlign w:val="center"/>
          </w:tcPr>
          <w:p>
            <w:pPr>
              <w:jc w:val="center"/>
              <w:rPr>
                <w:kern w:val="0"/>
                <w:sz w:val="24"/>
              </w:rPr>
            </w:pPr>
            <w:r>
              <w:rPr>
                <w:rFonts w:hint="eastAsia"/>
                <w:kern w:val="0"/>
                <w:sz w:val="24"/>
              </w:rPr>
              <w:t>课题完成单位结题意见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56" w:hRule="atLeast"/>
        </w:trPr>
        <w:tc>
          <w:tcPr>
            <w:tcW w:w="9356" w:type="dxa"/>
            <w:gridSpan w:val="2"/>
          </w:tcPr>
          <w:p>
            <w:pPr>
              <w:rPr>
                <w:kern w:val="0"/>
                <w:sz w:val="24"/>
              </w:rPr>
            </w:pPr>
          </w:p>
          <w:p>
            <w:pPr>
              <w:rPr>
                <w:kern w:val="0"/>
                <w:sz w:val="24"/>
              </w:rPr>
            </w:pPr>
          </w:p>
          <w:p>
            <w:pPr>
              <w:rPr>
                <w:kern w:val="0"/>
                <w:sz w:val="24"/>
              </w:rPr>
            </w:pPr>
          </w:p>
          <w:p>
            <w:pPr>
              <w:rPr>
                <w:kern w:val="0"/>
                <w:sz w:val="24"/>
              </w:rPr>
            </w:pPr>
          </w:p>
          <w:p>
            <w:pPr>
              <w:rPr>
                <w:kern w:val="0"/>
                <w:sz w:val="24"/>
              </w:rPr>
            </w:pPr>
          </w:p>
          <w:p>
            <w:pPr>
              <w:rPr>
                <w:kern w:val="0"/>
                <w:sz w:val="24"/>
              </w:rPr>
            </w:pPr>
          </w:p>
          <w:p>
            <w:pPr>
              <w:ind w:firstLine="5520" w:firstLineChars="2300"/>
              <w:rPr>
                <w:kern w:val="0"/>
                <w:sz w:val="24"/>
              </w:rPr>
            </w:pPr>
            <w:r>
              <w:rPr>
                <w:rFonts w:hint="eastAsia"/>
                <w:kern w:val="0"/>
                <w:sz w:val="24"/>
              </w:rPr>
              <w:t>单位（盖章）</w:t>
            </w:r>
          </w:p>
          <w:p>
            <w:pPr>
              <w:ind w:firstLine="5520" w:firstLineChars="2300"/>
              <w:rPr>
                <w:kern w:val="0"/>
                <w:sz w:val="24"/>
              </w:rPr>
            </w:pPr>
          </w:p>
          <w:p>
            <w:pPr>
              <w:rPr>
                <w:kern w:val="0"/>
                <w:sz w:val="24"/>
              </w:rPr>
            </w:pPr>
            <w:r>
              <w:rPr>
                <w:rFonts w:hint="eastAsia"/>
                <w:kern w:val="0"/>
                <w:sz w:val="24"/>
              </w:rPr>
              <w:t xml:space="preserve">                                                   年   月   日</w:t>
            </w:r>
          </w:p>
        </w:tc>
      </w:tr>
    </w:tbl>
    <w:p>
      <w:pPr>
        <w:rPr>
          <w:sz w:val="24"/>
        </w:rPr>
      </w:pPr>
    </w:p>
    <w:tbl>
      <w:tblPr>
        <w:tblStyle w:val="4"/>
        <w:tblW w:w="9356"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56" w:type="dxa"/>
          </w:tcPr>
          <w:p>
            <w:pPr>
              <w:jc w:val="center"/>
              <w:rPr>
                <w:kern w:val="0"/>
                <w:sz w:val="24"/>
              </w:rPr>
            </w:pPr>
            <w:r>
              <w:rPr>
                <w:rFonts w:hint="eastAsia"/>
                <w:kern w:val="0"/>
                <w:sz w:val="24"/>
              </w:rPr>
              <w:t>市课题鉴定专家组意见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17" w:hRule="atLeast"/>
        </w:trPr>
        <w:tc>
          <w:tcPr>
            <w:tcW w:w="9356" w:type="dxa"/>
          </w:tcPr>
          <w:p>
            <w:pPr>
              <w:ind w:firstLine="640" w:firstLineChars="200"/>
              <w:rPr>
                <w:kern w:val="0"/>
                <w:sz w:val="32"/>
                <w:szCs w:val="32"/>
              </w:rPr>
            </w:pPr>
          </w:p>
          <w:p>
            <w:pPr>
              <w:rPr>
                <w:rFonts w:ascii="仿宋_GB2312" w:eastAsia="仿宋_GB2312"/>
                <w:kern w:val="0"/>
                <w:sz w:val="32"/>
                <w:szCs w:val="32"/>
              </w:rPr>
            </w:pPr>
          </w:p>
          <w:p>
            <w:pPr>
              <w:rPr>
                <w:kern w:val="0"/>
                <w:sz w:val="32"/>
                <w:szCs w:val="32"/>
              </w:rPr>
            </w:pPr>
          </w:p>
          <w:p>
            <w:pPr>
              <w:rPr>
                <w:kern w:val="0"/>
                <w:sz w:val="32"/>
                <w:szCs w:val="32"/>
              </w:rPr>
            </w:pPr>
          </w:p>
          <w:p>
            <w:pPr>
              <w:rPr>
                <w:kern w:val="0"/>
                <w:sz w:val="32"/>
                <w:szCs w:val="32"/>
              </w:rPr>
            </w:pPr>
          </w:p>
          <w:p>
            <w:pPr>
              <w:rPr>
                <w:kern w:val="0"/>
                <w:sz w:val="32"/>
                <w:szCs w:val="32"/>
              </w:rPr>
            </w:pPr>
          </w:p>
          <w:p>
            <w:pPr>
              <w:rPr>
                <w:kern w:val="0"/>
                <w:sz w:val="32"/>
                <w:szCs w:val="32"/>
              </w:rPr>
            </w:pPr>
          </w:p>
          <w:p>
            <w:pPr>
              <w:rPr>
                <w:kern w:val="0"/>
                <w:sz w:val="32"/>
                <w:szCs w:val="32"/>
              </w:rPr>
            </w:pPr>
          </w:p>
          <w:p>
            <w:pPr>
              <w:rPr>
                <w:kern w:val="0"/>
                <w:sz w:val="32"/>
                <w:szCs w:val="32"/>
              </w:rPr>
            </w:pPr>
          </w:p>
          <w:p>
            <w:pPr>
              <w:rPr>
                <w:kern w:val="0"/>
                <w:sz w:val="24"/>
              </w:rPr>
            </w:pPr>
            <w:r>
              <w:rPr>
                <w:rFonts w:hint="eastAsia"/>
                <w:kern w:val="0"/>
                <w:sz w:val="32"/>
                <w:szCs w:val="32"/>
              </w:rPr>
              <w:t xml:space="preserve">                            </w:t>
            </w:r>
            <w:r>
              <w:rPr>
                <w:rFonts w:hint="eastAsia"/>
                <w:kern w:val="0"/>
                <w:sz w:val="24"/>
              </w:rPr>
              <w:t xml:space="preserve">           </w:t>
            </w:r>
          </w:p>
          <w:p>
            <w:pPr>
              <w:rPr>
                <w:kern w:val="0"/>
                <w:sz w:val="24"/>
              </w:rPr>
            </w:pPr>
          </w:p>
          <w:p>
            <w:pPr>
              <w:ind w:firstLine="5040" w:firstLineChars="2100"/>
              <w:rPr>
                <w:kern w:val="0"/>
                <w:sz w:val="24"/>
              </w:rPr>
            </w:pPr>
            <w:r>
              <w:rPr>
                <w:rFonts w:hint="eastAsia"/>
                <w:kern w:val="0"/>
                <w:sz w:val="24"/>
              </w:rPr>
              <w:t>鉴定组组长（签字）</w:t>
            </w:r>
          </w:p>
          <w:p>
            <w:pPr>
              <w:rPr>
                <w:kern w:val="0"/>
                <w:sz w:val="24"/>
              </w:rPr>
            </w:pPr>
          </w:p>
          <w:p>
            <w:pPr>
              <w:ind w:firstLine="5880" w:firstLineChars="2450"/>
              <w:rPr>
                <w:kern w:val="0"/>
                <w:sz w:val="24"/>
              </w:rPr>
            </w:pPr>
            <w:r>
              <w:rPr>
                <w:rFonts w:hint="eastAsia"/>
                <w:kern w:val="0"/>
                <w:sz w:val="24"/>
              </w:rPr>
              <w:t>年  月</w:t>
            </w:r>
          </w:p>
          <w:p>
            <w:pPr>
              <w:rPr>
                <w:kern w:val="0"/>
                <w:sz w:val="24"/>
              </w:rPr>
            </w:pPr>
          </w:p>
          <w:p>
            <w:pPr>
              <w:rPr>
                <w:kern w:val="0"/>
                <w:sz w:val="24"/>
              </w:rPr>
            </w:pPr>
          </w:p>
          <w:p>
            <w:pPr>
              <w:rPr>
                <w:kern w:val="0"/>
                <w:sz w:val="24"/>
              </w:rPr>
            </w:pPr>
          </w:p>
          <w:p>
            <w:pPr>
              <w:rPr>
                <w:kern w:val="0"/>
                <w:sz w:val="24"/>
              </w:rPr>
            </w:pPr>
          </w:p>
        </w:tc>
      </w:tr>
    </w:tbl>
    <w:p>
      <w:pPr>
        <w:rPr>
          <w:sz w:val="18"/>
          <w:szCs w:val="18"/>
        </w:rPr>
      </w:pPr>
    </w:p>
    <w:p>
      <w:pPr>
        <w:rPr>
          <w:sz w:val="18"/>
          <w:szCs w:val="18"/>
        </w:rPr>
      </w:pPr>
      <w:r>
        <w:rPr>
          <w:rFonts w:hint="eastAsia"/>
          <w:sz w:val="18"/>
          <w:szCs w:val="18"/>
        </w:rPr>
        <w:t xml:space="preserve">                                             </w:t>
      </w:r>
    </w:p>
    <w:tbl>
      <w:tblPr>
        <w:tblStyle w:val="4"/>
        <w:tblW w:w="9422"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1334"/>
        <w:gridCol w:w="3505"/>
        <w:gridCol w:w="2250"/>
        <w:gridCol w:w="1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trPr>
        <w:tc>
          <w:tcPr>
            <w:tcW w:w="9422" w:type="dxa"/>
            <w:gridSpan w:val="5"/>
          </w:tcPr>
          <w:p>
            <w:pPr>
              <w:jc w:val="center"/>
              <w:rPr>
                <w:sz w:val="24"/>
              </w:rPr>
            </w:pPr>
            <w:r>
              <w:rPr>
                <w:rFonts w:hint="eastAsia"/>
                <w:sz w:val="24"/>
              </w:rPr>
              <w:t>课题鉴定情况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761" w:type="dxa"/>
            <w:gridSpan w:val="2"/>
          </w:tcPr>
          <w:p>
            <w:pPr>
              <w:jc w:val="center"/>
            </w:pPr>
            <w:r>
              <w:rPr>
                <w:rFonts w:hint="eastAsia"/>
              </w:rPr>
              <w:t>课题完成时间</w:t>
            </w:r>
          </w:p>
        </w:tc>
        <w:tc>
          <w:tcPr>
            <w:tcW w:w="3505" w:type="dxa"/>
          </w:tcPr>
          <w:p/>
        </w:tc>
        <w:tc>
          <w:tcPr>
            <w:tcW w:w="2250" w:type="dxa"/>
          </w:tcPr>
          <w:p>
            <w:pPr>
              <w:jc w:val="center"/>
            </w:pPr>
            <w:r>
              <w:rPr>
                <w:rFonts w:hint="eastAsia"/>
              </w:rPr>
              <w:t>通过鉴定日期</w:t>
            </w:r>
          </w:p>
        </w:tc>
        <w:tc>
          <w:tcPr>
            <w:tcW w:w="190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761" w:type="dxa"/>
            <w:gridSpan w:val="2"/>
          </w:tcPr>
          <w:p>
            <w:pPr>
              <w:jc w:val="center"/>
            </w:pPr>
            <w:r>
              <w:rPr>
                <w:rFonts w:hint="eastAsia"/>
              </w:rPr>
              <w:t>课题鉴定方式</w:t>
            </w:r>
          </w:p>
        </w:tc>
        <w:tc>
          <w:tcPr>
            <w:tcW w:w="3505" w:type="dxa"/>
          </w:tcPr>
          <w:p/>
        </w:tc>
        <w:tc>
          <w:tcPr>
            <w:tcW w:w="2250" w:type="dxa"/>
          </w:tcPr>
          <w:p>
            <w:pPr>
              <w:jc w:val="center"/>
            </w:pPr>
            <w:r>
              <w:rPr>
                <w:rFonts w:hint="eastAsia"/>
              </w:rPr>
              <w:t>鉴定组人数</w:t>
            </w:r>
          </w:p>
        </w:tc>
        <w:tc>
          <w:tcPr>
            <w:tcW w:w="190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trPr>
        <w:tc>
          <w:tcPr>
            <w:tcW w:w="427" w:type="dxa"/>
            <w:vMerge w:val="restart"/>
          </w:tcPr>
          <w:p/>
          <w:p/>
          <w:p>
            <w:r>
              <w:rPr>
                <w:rFonts w:hint="eastAsia"/>
              </w:rPr>
              <w:t>鉴定组成员名单</w:t>
            </w:r>
          </w:p>
        </w:tc>
        <w:tc>
          <w:tcPr>
            <w:tcW w:w="1334" w:type="dxa"/>
          </w:tcPr>
          <w:p>
            <w:pPr>
              <w:jc w:val="center"/>
            </w:pPr>
            <w:r>
              <w:rPr>
                <w:rFonts w:hint="eastAsia"/>
              </w:rPr>
              <w:t>姓     名</w:t>
            </w:r>
          </w:p>
        </w:tc>
        <w:tc>
          <w:tcPr>
            <w:tcW w:w="3505" w:type="dxa"/>
          </w:tcPr>
          <w:p>
            <w:pPr>
              <w:jc w:val="center"/>
            </w:pPr>
            <w:r>
              <w:rPr>
                <w:rFonts w:hint="eastAsia"/>
              </w:rPr>
              <w:t>工  作  单  位</w:t>
            </w:r>
          </w:p>
        </w:tc>
        <w:tc>
          <w:tcPr>
            <w:tcW w:w="2250" w:type="dxa"/>
          </w:tcPr>
          <w:p>
            <w:pPr>
              <w:jc w:val="center"/>
            </w:pPr>
            <w:r>
              <w:rPr>
                <w:rFonts w:hint="eastAsia"/>
              </w:rPr>
              <w:t>职  务  职  称</w:t>
            </w:r>
          </w:p>
        </w:tc>
        <w:tc>
          <w:tcPr>
            <w:tcW w:w="1906" w:type="dxa"/>
          </w:tcPr>
          <w:p>
            <w:pPr>
              <w:jc w:val="center"/>
            </w:pPr>
            <w:r>
              <w:rPr>
                <w:rFonts w:hint="eastAsia"/>
              </w:rPr>
              <w:t>个 人 签 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427" w:type="dxa"/>
            <w:vMerge w:val="continue"/>
          </w:tcPr>
          <w:p/>
        </w:tc>
        <w:tc>
          <w:tcPr>
            <w:tcW w:w="1334" w:type="dxa"/>
          </w:tcPr>
          <w:p/>
        </w:tc>
        <w:tc>
          <w:tcPr>
            <w:tcW w:w="3505" w:type="dxa"/>
          </w:tcPr>
          <w:p/>
        </w:tc>
        <w:tc>
          <w:tcPr>
            <w:tcW w:w="2250" w:type="dxa"/>
          </w:tcPr>
          <w:p/>
        </w:tc>
        <w:tc>
          <w:tcPr>
            <w:tcW w:w="190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427" w:type="dxa"/>
            <w:vMerge w:val="continue"/>
          </w:tcPr>
          <w:p/>
        </w:tc>
        <w:tc>
          <w:tcPr>
            <w:tcW w:w="1334" w:type="dxa"/>
          </w:tcPr>
          <w:p/>
        </w:tc>
        <w:tc>
          <w:tcPr>
            <w:tcW w:w="3505" w:type="dxa"/>
          </w:tcPr>
          <w:p/>
        </w:tc>
        <w:tc>
          <w:tcPr>
            <w:tcW w:w="2250" w:type="dxa"/>
          </w:tcPr>
          <w:p/>
        </w:tc>
        <w:tc>
          <w:tcPr>
            <w:tcW w:w="190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trPr>
        <w:tc>
          <w:tcPr>
            <w:tcW w:w="427" w:type="dxa"/>
            <w:vMerge w:val="continue"/>
          </w:tcPr>
          <w:p/>
        </w:tc>
        <w:tc>
          <w:tcPr>
            <w:tcW w:w="1334" w:type="dxa"/>
          </w:tcPr>
          <w:p/>
        </w:tc>
        <w:tc>
          <w:tcPr>
            <w:tcW w:w="3505" w:type="dxa"/>
          </w:tcPr>
          <w:p/>
        </w:tc>
        <w:tc>
          <w:tcPr>
            <w:tcW w:w="2250" w:type="dxa"/>
          </w:tcPr>
          <w:p/>
        </w:tc>
        <w:tc>
          <w:tcPr>
            <w:tcW w:w="190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trPr>
        <w:tc>
          <w:tcPr>
            <w:tcW w:w="427" w:type="dxa"/>
            <w:vMerge w:val="continue"/>
          </w:tcPr>
          <w:p/>
        </w:tc>
        <w:tc>
          <w:tcPr>
            <w:tcW w:w="1334" w:type="dxa"/>
          </w:tcPr>
          <w:p/>
        </w:tc>
        <w:tc>
          <w:tcPr>
            <w:tcW w:w="3505" w:type="dxa"/>
          </w:tcPr>
          <w:p/>
        </w:tc>
        <w:tc>
          <w:tcPr>
            <w:tcW w:w="2250" w:type="dxa"/>
          </w:tcPr>
          <w:p/>
        </w:tc>
        <w:tc>
          <w:tcPr>
            <w:tcW w:w="190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trPr>
        <w:tc>
          <w:tcPr>
            <w:tcW w:w="427" w:type="dxa"/>
            <w:vMerge w:val="continue"/>
          </w:tcPr>
          <w:p/>
        </w:tc>
        <w:tc>
          <w:tcPr>
            <w:tcW w:w="1334" w:type="dxa"/>
          </w:tcPr>
          <w:p/>
        </w:tc>
        <w:tc>
          <w:tcPr>
            <w:tcW w:w="3505" w:type="dxa"/>
          </w:tcPr>
          <w:p/>
        </w:tc>
        <w:tc>
          <w:tcPr>
            <w:tcW w:w="2250" w:type="dxa"/>
          </w:tcPr>
          <w:p/>
        </w:tc>
        <w:tc>
          <w:tcPr>
            <w:tcW w:w="190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trPr>
        <w:tc>
          <w:tcPr>
            <w:tcW w:w="427" w:type="dxa"/>
            <w:vMerge w:val="continue"/>
          </w:tcPr>
          <w:p/>
        </w:tc>
        <w:tc>
          <w:tcPr>
            <w:tcW w:w="1334" w:type="dxa"/>
          </w:tcPr>
          <w:p/>
        </w:tc>
        <w:tc>
          <w:tcPr>
            <w:tcW w:w="3505" w:type="dxa"/>
          </w:tcPr>
          <w:p/>
        </w:tc>
        <w:tc>
          <w:tcPr>
            <w:tcW w:w="2250" w:type="dxa"/>
          </w:tcPr>
          <w:p/>
        </w:tc>
        <w:tc>
          <w:tcPr>
            <w:tcW w:w="190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trPr>
        <w:tc>
          <w:tcPr>
            <w:tcW w:w="427" w:type="dxa"/>
            <w:vMerge w:val="continue"/>
          </w:tcPr>
          <w:p/>
        </w:tc>
        <w:tc>
          <w:tcPr>
            <w:tcW w:w="1334" w:type="dxa"/>
          </w:tcPr>
          <w:p/>
        </w:tc>
        <w:tc>
          <w:tcPr>
            <w:tcW w:w="3505" w:type="dxa"/>
          </w:tcPr>
          <w:p/>
        </w:tc>
        <w:tc>
          <w:tcPr>
            <w:tcW w:w="2250" w:type="dxa"/>
          </w:tcPr>
          <w:p/>
        </w:tc>
        <w:tc>
          <w:tcPr>
            <w:tcW w:w="190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trPr>
        <w:tc>
          <w:tcPr>
            <w:tcW w:w="427" w:type="dxa"/>
            <w:vMerge w:val="continue"/>
          </w:tcPr>
          <w:p/>
        </w:tc>
        <w:tc>
          <w:tcPr>
            <w:tcW w:w="1334" w:type="dxa"/>
          </w:tcPr>
          <w:p/>
        </w:tc>
        <w:tc>
          <w:tcPr>
            <w:tcW w:w="3505" w:type="dxa"/>
          </w:tcPr>
          <w:p/>
        </w:tc>
        <w:tc>
          <w:tcPr>
            <w:tcW w:w="2250" w:type="dxa"/>
          </w:tcPr>
          <w:p/>
        </w:tc>
        <w:tc>
          <w:tcPr>
            <w:tcW w:w="190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trPr>
        <w:tc>
          <w:tcPr>
            <w:tcW w:w="427" w:type="dxa"/>
            <w:vMerge w:val="continue"/>
          </w:tcPr>
          <w:p/>
        </w:tc>
        <w:tc>
          <w:tcPr>
            <w:tcW w:w="1334" w:type="dxa"/>
          </w:tcPr>
          <w:p/>
        </w:tc>
        <w:tc>
          <w:tcPr>
            <w:tcW w:w="3505" w:type="dxa"/>
          </w:tcPr>
          <w:p/>
        </w:tc>
        <w:tc>
          <w:tcPr>
            <w:tcW w:w="2250" w:type="dxa"/>
          </w:tcPr>
          <w:p/>
        </w:tc>
        <w:tc>
          <w:tcPr>
            <w:tcW w:w="190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427" w:type="dxa"/>
            <w:vMerge w:val="continue"/>
          </w:tcPr>
          <w:p/>
        </w:tc>
        <w:tc>
          <w:tcPr>
            <w:tcW w:w="1334" w:type="dxa"/>
          </w:tcPr>
          <w:p/>
        </w:tc>
        <w:tc>
          <w:tcPr>
            <w:tcW w:w="3505" w:type="dxa"/>
          </w:tcPr>
          <w:p/>
        </w:tc>
        <w:tc>
          <w:tcPr>
            <w:tcW w:w="2250" w:type="dxa"/>
          </w:tcPr>
          <w:p/>
        </w:tc>
        <w:tc>
          <w:tcPr>
            <w:tcW w:w="190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9422" w:type="dxa"/>
            <w:gridSpan w:val="5"/>
          </w:tcPr>
          <w:p>
            <w:pPr>
              <w:jc w:val="center"/>
            </w:pPr>
            <w:r>
              <w:rPr>
                <w:rFonts w:hint="eastAsia"/>
              </w:rPr>
              <w:t>临 沂 市 社 会 科 学 界 联 合 会 终 审 意 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4" w:hRule="atLeast"/>
        </w:trPr>
        <w:tc>
          <w:tcPr>
            <w:tcW w:w="9422" w:type="dxa"/>
            <w:gridSpan w:val="5"/>
          </w:tcPr>
          <w:p>
            <w:pPr>
              <w:rPr>
                <w:sz w:val="24"/>
              </w:rPr>
            </w:pPr>
          </w:p>
          <w:p>
            <w:pPr>
              <w:rPr>
                <w:sz w:val="24"/>
              </w:rPr>
            </w:pPr>
          </w:p>
          <w:p>
            <w:pPr>
              <w:rPr>
                <w:sz w:val="24"/>
              </w:rPr>
            </w:pPr>
          </w:p>
          <w:p>
            <w:pPr>
              <w:rPr>
                <w:sz w:val="24"/>
              </w:rPr>
            </w:pPr>
          </w:p>
          <w:p>
            <w:pPr>
              <w:rPr>
                <w:sz w:val="24"/>
              </w:rPr>
            </w:pPr>
          </w:p>
          <w:p>
            <w:pPr>
              <w:ind w:firstLine="6480" w:firstLineChars="2700"/>
              <w:rPr>
                <w:sz w:val="24"/>
              </w:rPr>
            </w:pPr>
          </w:p>
          <w:p>
            <w:pPr>
              <w:ind w:firstLine="6480" w:firstLineChars="2700"/>
              <w:rPr>
                <w:sz w:val="24"/>
              </w:rPr>
            </w:pPr>
          </w:p>
          <w:p>
            <w:pPr>
              <w:ind w:firstLine="6480" w:firstLineChars="2700"/>
              <w:rPr>
                <w:sz w:val="24"/>
              </w:rPr>
            </w:pPr>
          </w:p>
          <w:p>
            <w:pPr>
              <w:ind w:firstLine="6480" w:firstLineChars="2700"/>
              <w:rPr>
                <w:sz w:val="24"/>
              </w:rPr>
            </w:pPr>
            <w:r>
              <w:rPr>
                <w:rFonts w:hint="eastAsia"/>
                <w:sz w:val="24"/>
              </w:rPr>
              <w:t>单位 （盖章）</w:t>
            </w:r>
          </w:p>
          <w:p>
            <w:pPr>
              <w:ind w:firstLine="6480" w:firstLineChars="2700"/>
              <w:rPr>
                <w:sz w:val="24"/>
              </w:rPr>
            </w:pPr>
          </w:p>
          <w:p>
            <w:pPr>
              <w:ind w:firstLine="6600" w:firstLineChars="2750"/>
              <w:rPr>
                <w:sz w:val="24"/>
              </w:rPr>
            </w:pPr>
            <w:r>
              <w:rPr>
                <w:rFonts w:hint="eastAsia"/>
                <w:sz w:val="24"/>
              </w:rPr>
              <w:t>年  月  日</w:t>
            </w:r>
          </w:p>
          <w:p>
            <w:pPr>
              <w:ind w:firstLine="6600" w:firstLineChars="275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9" w:hRule="atLeast"/>
        </w:trPr>
        <w:tc>
          <w:tcPr>
            <w:tcW w:w="9422" w:type="dxa"/>
            <w:gridSpan w:val="5"/>
          </w:tcPr>
          <w:p>
            <w:r>
              <w:rPr>
                <w:rFonts w:hint="eastAsia"/>
              </w:rPr>
              <w:t xml:space="preserve">1、评审书用钢笔填写或用电脑打印，一式三份，通过鉴定后，市、单位、课题组各存一份。     </w:t>
            </w:r>
          </w:p>
          <w:p>
            <w:r>
              <w:rPr>
                <w:rFonts w:hint="eastAsia"/>
              </w:rPr>
              <w:t xml:space="preserve">2、评审书可以打印或复印，但签字、盖章后不能打印或复印。                                             </w:t>
            </w:r>
          </w:p>
          <w:p>
            <w:r>
              <w:rPr>
                <w:rFonts w:hint="eastAsia"/>
              </w:rPr>
              <w:t>3、评审书封面编号不填写。通过鉴定后由市社科联统一填写。</w:t>
            </w:r>
          </w:p>
        </w:tc>
      </w:tr>
    </w:tbl>
    <w:p>
      <w:pPr>
        <w:ind w:firstLine="480" w:firstLineChars="200"/>
        <w:rPr>
          <w:sz w:val="24"/>
        </w:rPr>
      </w:pPr>
      <w:r>
        <w:rPr>
          <w:rFonts w:hint="eastAsia"/>
          <w:sz w:val="24"/>
        </w:rPr>
        <w:t>注：结题鉴定评审书须正反面打印。</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golian Baiti">
    <w:panose1 w:val="03000500000000000000"/>
    <w:charset w:val="00"/>
    <w:family w:val="script"/>
    <w:pitch w:val="default"/>
    <w:sig w:usb0="80000023" w:usb1="00000000" w:usb2="0002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文星标宋">
    <w:altName w:val="微软雅黑"/>
    <w:panose1 w:val="0201060900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003954"/>
      <w:docPartObj>
        <w:docPartGallery w:val="AutoText"/>
      </w:docPartObj>
    </w:sdtPr>
    <w:sdtContent>
      <w:p>
        <w:pPr>
          <w:pStyle w:val="2"/>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4</w:t>
    </w:r>
    <w:r>
      <w:rPr>
        <w:rStyle w:val="8"/>
      </w:rPr>
      <w:fldChar w:fldCharType="end"/>
    </w:r>
  </w:p>
  <w:p>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071B2"/>
    <w:rsid w:val="00012DDC"/>
    <w:rsid w:val="0005118E"/>
    <w:rsid w:val="00102BB2"/>
    <w:rsid w:val="002676F3"/>
    <w:rsid w:val="002B05E7"/>
    <w:rsid w:val="00385BBD"/>
    <w:rsid w:val="004B4C82"/>
    <w:rsid w:val="005D2B6F"/>
    <w:rsid w:val="00680D51"/>
    <w:rsid w:val="00825B99"/>
    <w:rsid w:val="00836147"/>
    <w:rsid w:val="008B29D0"/>
    <w:rsid w:val="009F46E1"/>
    <w:rsid w:val="00C11983"/>
    <w:rsid w:val="00C12BD2"/>
    <w:rsid w:val="00C212F9"/>
    <w:rsid w:val="00C918F5"/>
    <w:rsid w:val="00CA0DE0"/>
    <w:rsid w:val="00CC7F06"/>
    <w:rsid w:val="00D071B2"/>
    <w:rsid w:val="00D93863"/>
    <w:rsid w:val="00DD2CA5"/>
    <w:rsid w:val="00F120F0"/>
    <w:rsid w:val="0AC92DA3"/>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unhideWhenUsed/>
    <w:qFormat/>
    <w:uiPriority w:val="0"/>
    <w:pPr>
      <w:tabs>
        <w:tab w:val="center" w:pos="4153"/>
        <w:tab w:val="right" w:pos="8306"/>
      </w:tabs>
      <w:snapToGrid w:val="0"/>
      <w:jc w:val="left"/>
    </w:pPr>
    <w:rPr>
      <w:sz w:val="18"/>
      <w:szCs w:val="18"/>
    </w:rPr>
  </w:style>
  <w:style w:type="paragraph" w:styleId="3">
    <w:name w:val="header"/>
    <w:basedOn w:val="1"/>
    <w:link w:val="11"/>
    <w:unhideWhenUsed/>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7">
    <w:name w:val="Strong"/>
    <w:basedOn w:val="6"/>
    <w:qFormat/>
    <w:uiPriority w:val="22"/>
    <w:rPr>
      <w:b/>
      <w:bCs/>
    </w:rPr>
  </w:style>
  <w:style w:type="character" w:styleId="8">
    <w:name w:val="page number"/>
    <w:basedOn w:val="6"/>
    <w:uiPriority w:val="0"/>
  </w:style>
  <w:style w:type="character" w:styleId="9">
    <w:name w:val="Hyperlink"/>
    <w:basedOn w:val="6"/>
    <w:unhideWhenUsed/>
    <w:uiPriority w:val="99"/>
    <w:rPr>
      <w:color w:val="0000FF" w:themeColor="hyperlink"/>
      <w:u w:val="single"/>
    </w:rPr>
  </w:style>
  <w:style w:type="character" w:customStyle="1" w:styleId="10">
    <w:name w:val="页脚 Char"/>
    <w:basedOn w:val="6"/>
    <w:link w:val="2"/>
    <w:qFormat/>
    <w:uiPriority w:val="0"/>
    <w:rPr>
      <w:sz w:val="18"/>
      <w:szCs w:val="18"/>
    </w:rPr>
  </w:style>
  <w:style w:type="character" w:customStyle="1" w:styleId="11">
    <w:name w:val="页眉 Char"/>
    <w:basedOn w:val="6"/>
    <w:link w:val="3"/>
    <w:uiPriority w:val="0"/>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492</Words>
  <Characters>2805</Characters>
  <Lines>23</Lines>
  <Paragraphs>6</Paragraphs>
  <TotalTime>2</TotalTime>
  <ScaleCrop>false</ScaleCrop>
  <LinksUpToDate>false</LinksUpToDate>
  <CharactersWithSpaces>3291</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2019-09-25T04:11:00Z</dcterms:created>
  <dc:creator>微软用户</dc:creator>
  <cp:lastModifiedBy>Administrator</cp:lastModifiedBy>
  <cp:lastPrinted>2019-09-25T06:37:00Z</cp:lastPrinted>
  <dcterms:modified xsi:type="dcterms:W3CDTF">2019-09-26T08:43:57Z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